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D3DB4">
      <w:pPr>
        <w:keepNext/>
        <w:keepLines w:val="0"/>
        <w:pageBreakBefore w:val="0"/>
        <w:widowControl w:val="0"/>
        <w:kinsoku/>
        <w:wordWrap w:val="0"/>
        <w:overflowPunct/>
        <w:topLinePunct/>
        <w:autoSpaceDE/>
        <w:autoSpaceDN/>
        <w:bidi w:val="0"/>
        <w:ind w:firstLine="803" w:firstLineChars="200"/>
        <w:jc w:val="both"/>
        <w:textAlignment w:val="auto"/>
        <w:rPr>
          <w:rFonts w:hint="eastAsia" w:ascii="宋体" w:hAnsi="宋体" w:eastAsia="宋体" w:cs="宋体"/>
          <w:b/>
          <w:sz w:val="40"/>
          <w:szCs w:val="40"/>
          <w:lang w:val="en-US" w:eastAsia="zh-CN"/>
        </w:rPr>
      </w:pPr>
      <w:bookmarkStart w:id="0" w:name="_GoBack"/>
      <w:bookmarkEnd w:id="0"/>
      <w:r>
        <w:rPr>
          <w:rFonts w:hint="eastAsia" w:ascii="宋体" w:hAnsi="宋体" w:eastAsia="宋体" w:cs="宋体"/>
          <w:b/>
          <w:sz w:val="40"/>
          <w:szCs w:val="40"/>
          <w:lang w:val="en-US" w:eastAsia="zh-CN"/>
        </w:rPr>
        <w:t>枞阳县中医院纯音听力计采购项目</w:t>
      </w:r>
      <w:r>
        <w:rPr>
          <w:rFonts w:hint="eastAsia" w:ascii="宋体" w:hAnsi="宋体" w:cs="宋体"/>
          <w:b/>
          <w:sz w:val="40"/>
          <w:szCs w:val="40"/>
          <w:lang w:val="en-US" w:eastAsia="zh-CN"/>
        </w:rPr>
        <w:t>（二次）</w:t>
      </w:r>
    </w:p>
    <w:p w14:paraId="04A9AC3F">
      <w:pPr>
        <w:keepNext/>
        <w:keepLines w:val="0"/>
        <w:pageBreakBefore w:val="0"/>
        <w:widowControl w:val="0"/>
        <w:kinsoku/>
        <w:wordWrap w:val="0"/>
        <w:overflowPunct/>
        <w:topLinePunct/>
        <w:autoSpaceDE/>
        <w:autoSpaceDN/>
        <w:bidi w:val="0"/>
        <w:ind w:firstLine="3213" w:firstLineChars="800"/>
        <w:textAlignment w:val="auto"/>
        <w:rPr>
          <w:rFonts w:hint="eastAsia" w:ascii="宋体" w:hAnsi="宋体" w:cs="宋体"/>
          <w:b/>
          <w:sz w:val="40"/>
          <w:szCs w:val="40"/>
          <w:lang w:val="en-US" w:eastAsia="zh-CN"/>
        </w:rPr>
      </w:pPr>
      <w:r>
        <w:rPr>
          <w:rFonts w:hint="eastAsia" w:ascii="宋体" w:hAnsi="宋体" w:cs="宋体"/>
          <w:b/>
          <w:sz w:val="40"/>
          <w:szCs w:val="40"/>
          <w:lang w:val="en-US" w:eastAsia="zh-CN"/>
        </w:rPr>
        <w:t>采购需求</w:t>
      </w:r>
    </w:p>
    <w:p w14:paraId="730F182A">
      <w:pPr>
        <w:keepNext/>
        <w:keepLines w:val="0"/>
        <w:pageBreakBefore w:val="0"/>
        <w:widowControl w:val="0"/>
        <w:tabs>
          <w:tab w:val="left" w:pos="900"/>
        </w:tabs>
        <w:kinsoku/>
        <w:wordWrap w:val="0"/>
        <w:overflowPunct/>
        <w:topLinePunct/>
        <w:autoSpaceDE/>
        <w:autoSpaceDN/>
        <w:bidi w:val="0"/>
        <w:adjustRightInd w:val="0"/>
        <w:snapToGrid w:val="0"/>
        <w:spacing w:line="440" w:lineRule="exact"/>
        <w:textAlignment w:val="auto"/>
        <w:rPr>
          <w:rFonts w:hint="eastAsia" w:ascii="宋体" w:hAnsi="宋体" w:cs="仿宋"/>
          <w:b/>
          <w:sz w:val="28"/>
          <w:szCs w:val="28"/>
        </w:rPr>
      </w:pPr>
      <w:r>
        <w:rPr>
          <w:rFonts w:hint="eastAsia" w:ascii="宋体" w:hAnsi="宋体" w:cs="仿宋"/>
          <w:b/>
          <w:sz w:val="28"/>
          <w:szCs w:val="28"/>
          <w:lang w:val="en-US" w:eastAsia="zh-CN"/>
        </w:rPr>
        <w:t>一、</w:t>
      </w:r>
      <w:r>
        <w:rPr>
          <w:rFonts w:hint="eastAsia" w:ascii="宋体" w:hAnsi="宋体" w:cs="仿宋"/>
          <w:b/>
          <w:sz w:val="28"/>
          <w:szCs w:val="28"/>
        </w:rPr>
        <w:t>采购内容</w:t>
      </w:r>
    </w:p>
    <w:p w14:paraId="2D9CAD12">
      <w:pPr>
        <w:keepNext/>
        <w:keepLines w:val="0"/>
        <w:pageBreakBefore w:val="0"/>
        <w:widowControl w:val="0"/>
        <w:shd w:val="clear" w:color="auto" w:fill="FFFFFF"/>
        <w:kinsoku/>
        <w:wordWrap w:val="0"/>
        <w:overflowPunct/>
        <w:topLinePunct/>
        <w:autoSpaceDE/>
        <w:autoSpaceDN/>
        <w:bidi w:val="0"/>
        <w:spacing w:line="440" w:lineRule="exact"/>
        <w:ind w:firstLine="560" w:firstLineChars="200"/>
        <w:jc w:val="left"/>
        <w:textAlignment w:val="auto"/>
        <w:rPr>
          <w:rFonts w:hint="default" w:ascii="宋体" w:hAnsi="宋体" w:eastAsia="宋体" w:cs="宋体"/>
          <w:color w:val="1A1A1A"/>
          <w:kern w:val="0"/>
          <w:sz w:val="28"/>
          <w:szCs w:val="28"/>
          <w:highlight w:val="yellow"/>
          <w:shd w:val="clear" w:color="auto" w:fill="FFFFFF"/>
          <w:lang w:val="en-US" w:eastAsia="zh-CN"/>
        </w:rPr>
      </w:pPr>
      <w:r>
        <w:rPr>
          <w:rFonts w:hint="default" w:ascii="宋体" w:hAnsi="宋体" w:cs="仿宋"/>
          <w:b w:val="0"/>
          <w:bCs/>
          <w:sz w:val="28"/>
          <w:szCs w:val="28"/>
          <w:lang w:val="en-US"/>
        </w:rPr>
        <w:t>枞阳县中医院需要采购一套纯音听力计；</w:t>
      </w:r>
    </w:p>
    <w:p w14:paraId="31331AB4">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（一）基本功能</w:t>
      </w:r>
    </w:p>
    <w:p w14:paraId="3A20E2FA">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★1、独立双通道输出。</w:t>
      </w:r>
    </w:p>
    <w:p w14:paraId="3ED393F6">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★2、具备气导测试、骨导测试、自由声场测试；</w:t>
      </w:r>
    </w:p>
    <w:p w14:paraId="2DBE79E5">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3、主机内置麦克风（可调节声强）方便操作者与受试者在测试过程中的交流。</w:t>
      </w:r>
    </w:p>
    <w:p w14:paraId="05B5902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4、主机可脱机进行听力测试且在主机屏幕上显示完整听力图并能上传HIS系统。</w:t>
      </w:r>
    </w:p>
    <w:p w14:paraId="165B30F3">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5、连机模式：A、上位机实时同步显示，B、PC端下行控制，可连接HIS系统，并上传相关数据。</w:t>
      </w:r>
    </w:p>
    <w:p w14:paraId="15B9C495">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6、中文操作界面。</w:t>
      </w:r>
    </w:p>
    <w:p w14:paraId="2712E7E3">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7、联机状态下设备可存储数据量依从电脑硬盘可用空间。</w:t>
      </w:r>
    </w:p>
    <w:p w14:paraId="4428D3B3">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（二）技术参数：</w:t>
      </w:r>
    </w:p>
    <w:p w14:paraId="5F2322D0">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1、气导频率范围：125Hz</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8000Hz；</w:t>
      </w:r>
    </w:p>
    <w:p w14:paraId="031CBE2F">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2、气导声强范围：-10dB</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120dB；</w:t>
      </w:r>
    </w:p>
    <w:p w14:paraId="690D27F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3、掩蔽声强范围：-10dB</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110dB；</w:t>
      </w:r>
    </w:p>
    <w:p w14:paraId="3ACC629B">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4、骨导测试频率：250Hz</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6000Hz；</w:t>
      </w:r>
    </w:p>
    <w:p w14:paraId="0CF9BBA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5、骨导声强范围：-10dB</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70dB；</w:t>
      </w:r>
    </w:p>
    <w:p w14:paraId="1D02CC5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6、频率误差小于±2%；</w:t>
      </w:r>
    </w:p>
    <w:p w14:paraId="27A5F147">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7、失真度：气导小于2.5%、骨导小于5.5%；</w:t>
      </w:r>
    </w:p>
    <w:p w14:paraId="088519A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8、精度：步进5dB，误差小于±1dB；</w:t>
      </w:r>
    </w:p>
    <w:p w14:paraId="5112F22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9、给声方式：两种给声方式，按键给声及触摸给声；</w:t>
      </w:r>
    </w:p>
    <w:p w14:paraId="43E328D5">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★10、刺激器类型：气导、骨导、掩蔽；</w:t>
      </w:r>
    </w:p>
    <w:p w14:paraId="55A6EFA6">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11、刺激声类型：纯音、啭音、脉冲音；</w:t>
      </w:r>
    </w:p>
    <w:p w14:paraId="5F68442C">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12、掩蔽类型：窄带噪声；</w:t>
      </w:r>
    </w:p>
    <w:p w14:paraId="3156BAA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13、输出：气导耳机、骨导耳机、自由声场；</w:t>
      </w:r>
    </w:p>
    <w:p w14:paraId="2FB9A46D">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14、进行测试的气导、骨导测试频率点可自由选择；</w:t>
      </w:r>
    </w:p>
    <w:p w14:paraId="65B040B4">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15、指示灯：各功能键均配有指示灯，确保操作指引；</w:t>
      </w:r>
    </w:p>
    <w:p w14:paraId="2284FEE7">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16、患者应答：外置应答手柄，内置指示灯提示；</w:t>
      </w:r>
    </w:p>
    <w:p w14:paraId="15E84CFD">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17、保护功能: 符合声学安全要求，有效保护受试者听力；</w:t>
      </w:r>
    </w:p>
    <w:p w14:paraId="6CCB285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18</w:t>
      </w:r>
      <w:r>
        <w:rPr>
          <w:rFonts w:hint="eastAsia" w:ascii="宋体" w:hAnsi="宋体" w:eastAsia="宋体" w:cs="宋体"/>
          <w:color w:val="000000"/>
          <w:kern w:val="0"/>
          <w:sz w:val="28"/>
          <w:szCs w:val="28"/>
          <w:lang w:val="zh-CN" w:eastAsia="zh-CN"/>
        </w:rPr>
        <w:t>、</w:t>
      </w:r>
      <w:r>
        <w:rPr>
          <w:rFonts w:hint="eastAsia" w:ascii="宋体" w:hAnsi="宋体" w:eastAsia="宋体" w:cs="宋体"/>
          <w:color w:val="000000"/>
          <w:kern w:val="0"/>
          <w:sz w:val="28"/>
          <w:szCs w:val="28"/>
          <w:lang w:val="en-US" w:eastAsia="zh-CN"/>
        </w:rPr>
        <w:t>声场测试采用外置功放和内置声场校准功能；</w:t>
      </w:r>
    </w:p>
    <w:p w14:paraId="689B4EA8">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19、管理平台：可在电脑端进行病历数据分析、管理、同步显示听力图；免费开放端口与医院HIS系统对接；</w:t>
      </w:r>
    </w:p>
    <w:p w14:paraId="640D43CB">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20、具备听力诊断辅助分析功能；</w:t>
      </w:r>
    </w:p>
    <w:p w14:paraId="65A709D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21、自定义计算精度：原始数据、保留整数、保留小数点后 1 位；</w:t>
      </w:r>
    </w:p>
    <w:p w14:paraId="3D554A6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22、测试报告存储可选多种存储格式(JPG/PDF/XML)；</w:t>
      </w:r>
    </w:p>
    <w:p w14:paraId="7447877B">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23、信息录入：需体检身份证读卡器，可直接读卡录入患者信息；</w:t>
      </w:r>
    </w:p>
    <w:p w14:paraId="2F6B6D95">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★24、质保3年（需提供承诺函）；</w:t>
      </w:r>
    </w:p>
    <w:p w14:paraId="2E1C8E43">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★25、首次需提供专业部门仪器校准报告；</w:t>
      </w:r>
    </w:p>
    <w:p w14:paraId="5A7C2A41">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26、需提供一台台式电脑和一台打印机连接纯音听力计系统；</w:t>
      </w:r>
    </w:p>
    <w:p w14:paraId="75529B04">
      <w:pPr>
        <w:keepNext/>
        <w:keepLines w:val="0"/>
        <w:pageBreakBefore w:val="0"/>
        <w:widowControl w:val="0"/>
        <w:kinsoku/>
        <w:wordWrap w:val="0"/>
        <w:overflowPunct/>
        <w:topLinePunct/>
        <w:autoSpaceDE/>
        <w:autoSpaceDN/>
        <w:bidi w:val="0"/>
        <w:adjustRightInd w:val="0"/>
        <w:snapToGrid w:val="0"/>
        <w:spacing w:line="440" w:lineRule="exact"/>
        <w:ind w:firstLine="258" w:firstLineChars="10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spacing w:val="-11"/>
          <w:kern w:val="0"/>
          <w:sz w:val="28"/>
          <w:szCs w:val="28"/>
          <w:lang w:val="en-US" w:eastAsia="zh-CN"/>
        </w:rPr>
        <w:t>27、所提供设备生产日期不得超过中标时间1年；（</w:t>
      </w:r>
      <w:r>
        <w:rPr>
          <w:rFonts w:hint="eastAsia" w:ascii="宋体" w:hAnsi="宋体" w:eastAsia="宋体" w:cs="宋体"/>
          <w:color w:val="000000"/>
          <w:spacing w:val="-11"/>
          <w:kern w:val="0"/>
          <w:sz w:val="28"/>
          <w:szCs w:val="28"/>
          <w:highlight w:val="none"/>
          <w:lang w:val="en-US" w:eastAsia="zh-CN"/>
        </w:rPr>
        <w:t>以设备铭牌时间为准</w:t>
      </w:r>
      <w:r>
        <w:rPr>
          <w:rFonts w:hint="eastAsia" w:ascii="宋体" w:hAnsi="宋体" w:eastAsia="宋体" w:cs="宋体"/>
          <w:color w:val="000000"/>
          <w:spacing w:val="-11"/>
          <w:kern w:val="0"/>
          <w:sz w:val="28"/>
          <w:szCs w:val="28"/>
          <w:lang w:val="en-US" w:eastAsia="zh-CN"/>
        </w:rPr>
        <w:t>）；</w:t>
      </w:r>
    </w:p>
    <w:p w14:paraId="0320FD38">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w:t>
      </w:r>
      <w:r>
        <w:rPr>
          <w:rFonts w:hint="eastAsia" w:ascii="宋体" w:hAnsi="宋体" w:eastAsia="宋体" w:cs="宋体"/>
          <w:b/>
          <w:bCs/>
          <w:color w:val="000000"/>
          <w:kern w:val="0"/>
          <w:sz w:val="28"/>
          <w:szCs w:val="28"/>
          <w:lang w:eastAsia="zh-CN"/>
        </w:rPr>
        <w:t>（三）</w:t>
      </w:r>
      <w:r>
        <w:rPr>
          <w:rFonts w:hint="eastAsia" w:ascii="宋体" w:hAnsi="宋体" w:eastAsia="宋体" w:cs="宋体"/>
          <w:b/>
          <w:bCs/>
          <w:color w:val="000000"/>
          <w:kern w:val="0"/>
          <w:sz w:val="28"/>
          <w:szCs w:val="28"/>
        </w:rPr>
        <w:t>配置清单</w:t>
      </w:r>
    </w:p>
    <w:tbl>
      <w:tblPr>
        <w:tblStyle w:val="3"/>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4"/>
        <w:gridCol w:w="2352"/>
        <w:gridCol w:w="2350"/>
      </w:tblGrid>
      <w:tr w14:paraId="6993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32BE376A">
            <w:pPr>
              <w:keepNext/>
              <w:keepLines w:val="0"/>
              <w:pageBreakBefore w:val="0"/>
              <w:widowControl w:val="0"/>
              <w:kinsoku/>
              <w:wordWrap w:val="0"/>
              <w:overflowPunct/>
              <w:topLinePunct/>
              <w:autoSpaceDE/>
              <w:autoSpaceDN/>
              <w:bidi w:val="0"/>
              <w:adjustRightInd w:val="0"/>
              <w:snapToGrid w:val="0"/>
              <w:spacing w:line="440" w:lineRule="exact"/>
              <w:ind w:firstLine="1680" w:firstLineChars="700"/>
              <w:jc w:val="both"/>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名称</w:t>
            </w:r>
          </w:p>
        </w:tc>
        <w:tc>
          <w:tcPr>
            <w:tcW w:w="2400" w:type="dxa"/>
            <w:noWrap w:val="0"/>
            <w:vAlign w:val="top"/>
          </w:tcPr>
          <w:p w14:paraId="1786D8D3">
            <w:pPr>
              <w:keepNext/>
              <w:keepLines w:val="0"/>
              <w:pageBreakBefore w:val="0"/>
              <w:widowControl w:val="0"/>
              <w:kinsoku/>
              <w:wordWrap w:val="0"/>
              <w:overflowPunct/>
              <w:topLinePunct/>
              <w:autoSpaceDE/>
              <w:autoSpaceDN/>
              <w:bidi w:val="0"/>
              <w:adjustRightInd w:val="0"/>
              <w:snapToGrid w:val="0"/>
              <w:spacing w:line="440" w:lineRule="exact"/>
              <w:ind w:firstLine="960" w:firstLineChars="400"/>
              <w:jc w:val="both"/>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数量</w:t>
            </w:r>
          </w:p>
        </w:tc>
        <w:tc>
          <w:tcPr>
            <w:tcW w:w="2398" w:type="dxa"/>
            <w:noWrap w:val="0"/>
            <w:vAlign w:val="top"/>
          </w:tcPr>
          <w:p w14:paraId="789D670D">
            <w:pPr>
              <w:keepNext/>
              <w:keepLines w:val="0"/>
              <w:pageBreakBefore w:val="0"/>
              <w:widowControl w:val="0"/>
              <w:kinsoku/>
              <w:wordWrap w:val="0"/>
              <w:overflowPunct/>
              <w:topLinePunct/>
              <w:autoSpaceDE/>
              <w:autoSpaceDN/>
              <w:bidi w:val="0"/>
              <w:adjustRightInd w:val="0"/>
              <w:snapToGrid w:val="0"/>
              <w:spacing w:line="440" w:lineRule="exact"/>
              <w:ind w:firstLine="960" w:firstLineChars="400"/>
              <w:jc w:val="both"/>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单位</w:t>
            </w:r>
          </w:p>
        </w:tc>
      </w:tr>
      <w:tr w14:paraId="582F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320" w:type="dxa"/>
            <w:noWrap w:val="0"/>
            <w:vAlign w:val="top"/>
          </w:tcPr>
          <w:p w14:paraId="1FE483EC">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纯听力计主机</w:t>
            </w:r>
          </w:p>
        </w:tc>
        <w:tc>
          <w:tcPr>
            <w:tcW w:w="2400" w:type="dxa"/>
            <w:noWrap w:val="0"/>
            <w:vAlign w:val="top"/>
          </w:tcPr>
          <w:p w14:paraId="314BBCD7">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1B38C789">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台</w:t>
            </w:r>
          </w:p>
        </w:tc>
      </w:tr>
      <w:tr w14:paraId="6CC5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00E9A5CD">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台式办公电脑</w:t>
            </w:r>
          </w:p>
        </w:tc>
        <w:tc>
          <w:tcPr>
            <w:tcW w:w="2400" w:type="dxa"/>
            <w:noWrap w:val="0"/>
            <w:vAlign w:val="top"/>
          </w:tcPr>
          <w:p w14:paraId="3EBF97CF">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3F8710DC">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套</w:t>
            </w:r>
          </w:p>
        </w:tc>
      </w:tr>
      <w:tr w14:paraId="7EA3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592C3FE3">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打印机</w:t>
            </w:r>
          </w:p>
        </w:tc>
        <w:tc>
          <w:tcPr>
            <w:tcW w:w="2400" w:type="dxa"/>
            <w:noWrap w:val="0"/>
            <w:vAlign w:val="top"/>
          </w:tcPr>
          <w:p w14:paraId="79AA8667">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12614E9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台</w:t>
            </w:r>
          </w:p>
        </w:tc>
      </w:tr>
      <w:tr w14:paraId="113A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6338BEBE">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气导耳机</w:t>
            </w:r>
          </w:p>
        </w:tc>
        <w:tc>
          <w:tcPr>
            <w:tcW w:w="2400" w:type="dxa"/>
            <w:noWrap w:val="0"/>
            <w:vAlign w:val="top"/>
          </w:tcPr>
          <w:p w14:paraId="2D41702F">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C90230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副</w:t>
            </w:r>
          </w:p>
        </w:tc>
      </w:tr>
      <w:tr w14:paraId="6AC5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77427AB3">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骨导耳机</w:t>
            </w:r>
          </w:p>
        </w:tc>
        <w:tc>
          <w:tcPr>
            <w:tcW w:w="2400" w:type="dxa"/>
            <w:noWrap w:val="0"/>
            <w:vAlign w:val="top"/>
          </w:tcPr>
          <w:p w14:paraId="4041F8EB">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3ECFE002">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副</w:t>
            </w:r>
          </w:p>
        </w:tc>
      </w:tr>
      <w:tr w14:paraId="31FB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1430D83B">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电源适配器</w:t>
            </w:r>
          </w:p>
        </w:tc>
        <w:tc>
          <w:tcPr>
            <w:tcW w:w="2400" w:type="dxa"/>
            <w:noWrap w:val="0"/>
            <w:vAlign w:val="top"/>
          </w:tcPr>
          <w:p w14:paraId="7D8487F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484627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eastAsia="zh-CN"/>
              </w:rPr>
            </w:pPr>
            <w:r>
              <w:rPr>
                <w:rFonts w:hint="eastAsia" w:ascii="宋体" w:hAnsi="宋体" w:eastAsia="宋体" w:cs="宋体"/>
                <w:color w:val="000000"/>
                <w:kern w:val="0"/>
                <w:sz w:val="24"/>
                <w:szCs w:val="24"/>
                <w:vertAlign w:val="baseline"/>
                <w:lang w:eastAsia="zh-CN"/>
              </w:rPr>
              <w:t>个</w:t>
            </w:r>
          </w:p>
        </w:tc>
      </w:tr>
      <w:tr w14:paraId="36D8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4B0F5DEB">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应答器</w:t>
            </w:r>
          </w:p>
        </w:tc>
        <w:tc>
          <w:tcPr>
            <w:tcW w:w="2400" w:type="dxa"/>
            <w:noWrap w:val="0"/>
            <w:vAlign w:val="top"/>
          </w:tcPr>
          <w:p w14:paraId="56E655D1">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4EF88BB4">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eastAsia="zh-CN"/>
              </w:rPr>
            </w:pPr>
            <w:r>
              <w:rPr>
                <w:rFonts w:hint="eastAsia" w:ascii="宋体" w:hAnsi="宋体" w:eastAsia="宋体" w:cs="宋体"/>
                <w:color w:val="000000"/>
                <w:kern w:val="0"/>
                <w:sz w:val="24"/>
                <w:szCs w:val="24"/>
                <w:vertAlign w:val="baseline"/>
                <w:lang w:eastAsia="zh-CN"/>
              </w:rPr>
              <w:t>个</w:t>
            </w:r>
          </w:p>
        </w:tc>
      </w:tr>
      <w:tr w14:paraId="3BC0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660B67F4">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USB线</w:t>
            </w:r>
          </w:p>
        </w:tc>
        <w:tc>
          <w:tcPr>
            <w:tcW w:w="2400" w:type="dxa"/>
            <w:noWrap w:val="0"/>
            <w:vAlign w:val="top"/>
          </w:tcPr>
          <w:p w14:paraId="371DDBA2">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5770244">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eastAsia="zh-CN"/>
              </w:rPr>
            </w:pPr>
            <w:r>
              <w:rPr>
                <w:rFonts w:hint="eastAsia" w:ascii="宋体" w:hAnsi="宋体" w:eastAsia="宋体" w:cs="宋体"/>
                <w:color w:val="000000"/>
                <w:kern w:val="0"/>
                <w:sz w:val="24"/>
                <w:szCs w:val="24"/>
                <w:vertAlign w:val="baseline"/>
                <w:lang w:eastAsia="zh-CN"/>
              </w:rPr>
              <w:t>个</w:t>
            </w:r>
          </w:p>
        </w:tc>
      </w:tr>
      <w:tr w14:paraId="334B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23F0DBE7">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软件（U盘）</w:t>
            </w:r>
          </w:p>
        </w:tc>
        <w:tc>
          <w:tcPr>
            <w:tcW w:w="2400" w:type="dxa"/>
            <w:noWrap w:val="0"/>
            <w:vAlign w:val="top"/>
          </w:tcPr>
          <w:p w14:paraId="2B9986A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4C8807C0">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eastAsia="zh-CN"/>
              </w:rPr>
            </w:pPr>
            <w:r>
              <w:rPr>
                <w:rFonts w:hint="eastAsia" w:ascii="宋体" w:hAnsi="宋体" w:eastAsia="宋体" w:cs="宋体"/>
                <w:color w:val="000000"/>
                <w:kern w:val="0"/>
                <w:sz w:val="24"/>
                <w:szCs w:val="24"/>
                <w:vertAlign w:val="baseline"/>
                <w:lang w:eastAsia="zh-CN"/>
              </w:rPr>
              <w:t>个</w:t>
            </w:r>
          </w:p>
        </w:tc>
      </w:tr>
      <w:tr w14:paraId="4EE1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2A6EAE21">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合格证</w:t>
            </w:r>
          </w:p>
        </w:tc>
        <w:tc>
          <w:tcPr>
            <w:tcW w:w="2400" w:type="dxa"/>
            <w:noWrap w:val="0"/>
            <w:vAlign w:val="top"/>
          </w:tcPr>
          <w:p w14:paraId="74037FF7">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C72E290">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本</w:t>
            </w:r>
          </w:p>
        </w:tc>
      </w:tr>
      <w:tr w14:paraId="1982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631AAC93">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使用说明书</w:t>
            </w:r>
          </w:p>
        </w:tc>
        <w:tc>
          <w:tcPr>
            <w:tcW w:w="2400" w:type="dxa"/>
            <w:noWrap w:val="0"/>
            <w:vAlign w:val="top"/>
          </w:tcPr>
          <w:p w14:paraId="49DE9945">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6FE3E89">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份</w:t>
            </w:r>
          </w:p>
        </w:tc>
      </w:tr>
      <w:tr w14:paraId="6AF5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4FE6C214">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出厂检测报告</w:t>
            </w:r>
          </w:p>
        </w:tc>
        <w:tc>
          <w:tcPr>
            <w:tcW w:w="2400" w:type="dxa"/>
            <w:noWrap w:val="0"/>
            <w:vAlign w:val="top"/>
          </w:tcPr>
          <w:p w14:paraId="40546B19">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6E8B861A">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份</w:t>
            </w:r>
          </w:p>
        </w:tc>
      </w:tr>
      <w:tr w14:paraId="6214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591833FD">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保修责任书</w:t>
            </w:r>
          </w:p>
        </w:tc>
        <w:tc>
          <w:tcPr>
            <w:tcW w:w="2400" w:type="dxa"/>
            <w:noWrap w:val="0"/>
            <w:vAlign w:val="top"/>
          </w:tcPr>
          <w:p w14:paraId="3AC1613D">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69109060">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份</w:t>
            </w:r>
          </w:p>
        </w:tc>
      </w:tr>
      <w:tr w14:paraId="2676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5673DC2D">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仪器校准报告</w:t>
            </w:r>
          </w:p>
        </w:tc>
        <w:tc>
          <w:tcPr>
            <w:tcW w:w="2400" w:type="dxa"/>
            <w:noWrap w:val="0"/>
            <w:vAlign w:val="top"/>
          </w:tcPr>
          <w:p w14:paraId="37925695">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7C1B253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份</w:t>
            </w:r>
          </w:p>
        </w:tc>
      </w:tr>
      <w:tr w14:paraId="7B72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5EC916BA">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读卡器</w:t>
            </w:r>
          </w:p>
        </w:tc>
        <w:tc>
          <w:tcPr>
            <w:tcW w:w="2400" w:type="dxa"/>
            <w:noWrap w:val="0"/>
            <w:vAlign w:val="top"/>
          </w:tcPr>
          <w:p w14:paraId="2BD1C951">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A7E564F">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台</w:t>
            </w:r>
          </w:p>
        </w:tc>
      </w:tr>
    </w:tbl>
    <w:p w14:paraId="57B59425">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textAlignment w:val="auto"/>
        <w:rPr>
          <w:rFonts w:hint="eastAsia" w:ascii="宋体" w:hAnsi="宋体" w:cs="宋体"/>
          <w:b/>
          <w:bCs/>
          <w:sz w:val="28"/>
          <w:szCs w:val="28"/>
          <w:highlight w:val="none"/>
          <w:lang w:val="en-US" w:eastAsia="zh-CN"/>
        </w:rPr>
      </w:pPr>
      <w:r>
        <w:rPr>
          <w:rFonts w:hint="eastAsia" w:ascii="宋体" w:hAnsi="宋体" w:eastAsia="宋体" w:cs="宋体"/>
          <w:b/>
          <w:bCs/>
          <w:sz w:val="28"/>
          <w:szCs w:val="28"/>
          <w:highlight w:val="none"/>
        </w:rPr>
        <w:t>注：</w:t>
      </w:r>
      <w:r>
        <w:rPr>
          <w:rFonts w:hint="eastAsia" w:ascii="宋体" w:hAnsi="宋体" w:cs="宋体"/>
          <w:b/>
          <w:bCs/>
          <w:sz w:val="28"/>
          <w:szCs w:val="28"/>
          <w:highlight w:val="none"/>
          <w:lang w:val="en-US" w:eastAsia="zh-CN"/>
        </w:rPr>
        <w:t>1、以上所有参数中“★”号项均为重要参数，产品性能技术参数及要求须在响应文件中提供相关证明材料 。证明材料包括医疗器械注册证、第三方检测机构出具的检验或检测报告、产品说明书,提供其中之一即可。</w:t>
      </w:r>
    </w:p>
    <w:p w14:paraId="5CFDBB31">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textAlignment w:val="auto"/>
        <w:rPr>
          <w:rFonts w:hint="default" w:ascii="宋体" w:hAnsi="宋体" w:eastAsia="宋体" w:cs="宋体"/>
          <w:b/>
          <w:bCs/>
          <w:color w:val="auto"/>
          <w:sz w:val="28"/>
          <w:szCs w:val="28"/>
          <w:highlight w:val="none"/>
          <w:lang w:val="en-US" w:eastAsia="zh-CN"/>
        </w:rPr>
      </w:pPr>
      <w:r>
        <w:rPr>
          <w:rFonts w:hint="eastAsia" w:ascii="宋体" w:hAnsi="宋体" w:cs="宋体"/>
          <w:b/>
          <w:bCs/>
          <w:sz w:val="28"/>
          <w:szCs w:val="28"/>
          <w:highlight w:val="none"/>
          <w:lang w:val="en-US" w:eastAsia="zh-CN"/>
        </w:rPr>
        <w:t>2、按照要求提供相关证明材料扫描件或影印件放入响应文件，未要求提供证明材料的以技术规格响应表作为评审依据。</w:t>
      </w:r>
    </w:p>
    <w:p w14:paraId="2101D79D">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jc w:val="left"/>
        <w:textAlignment w:val="auto"/>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t>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皖财购〔2022〕366号）、《关于规范公立医疗机构政府采购进口产品的补充通知》（皖财购函〔2022〕101号）等。本项目拒绝采购进口产品。</w:t>
      </w:r>
    </w:p>
    <w:p w14:paraId="756D5D95">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jc w:val="left"/>
        <w:textAlignment w:val="auto"/>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t>4、本项目采购的相关系统管理软件需符合财政部、工业和信息化部颁发的《操作系统政府采购需求标准（2023 年版）》、《台式式计算机政府采购需求标准（2023 年版）》、《通用服务器政府采购需求标准（2023 版）》、《工作站政府采购需求标准（2023 年版）》等文件要求，如履约验收期间所投产品不满足相关文件要求，采购人有权追究中标人的违约责任，中标人承担由此产生的一切后果及责任。</w:t>
      </w:r>
    </w:p>
    <w:p w14:paraId="77F69533">
      <w:pPr>
        <w:keepNext/>
        <w:keepLines w:val="0"/>
        <w:pageBreakBefore w:val="0"/>
        <w:widowControl w:val="0"/>
        <w:kinsoku/>
        <w:wordWrap w:val="0"/>
        <w:overflowPunct/>
        <w:topLinePunct/>
        <w:autoSpaceDE/>
        <w:autoSpaceDN/>
        <w:bidi w:val="0"/>
        <w:spacing w:line="440" w:lineRule="exact"/>
        <w:textAlignment w:val="auto"/>
        <w:rPr>
          <w:rFonts w:hint="eastAsia" w:ascii="宋体" w:hAnsi="宋体" w:cs="宋体"/>
          <w:b/>
          <w:kern w:val="0"/>
          <w:sz w:val="28"/>
          <w:szCs w:val="28"/>
        </w:rPr>
      </w:pPr>
      <w:r>
        <w:rPr>
          <w:rFonts w:hint="eastAsia" w:ascii="宋体" w:hAnsi="宋体" w:cs="宋体"/>
          <w:b/>
          <w:kern w:val="0"/>
          <w:sz w:val="28"/>
          <w:szCs w:val="28"/>
          <w:lang w:val="en-US" w:eastAsia="zh-CN"/>
        </w:rPr>
        <w:t>二</w:t>
      </w:r>
      <w:r>
        <w:rPr>
          <w:rFonts w:hint="eastAsia" w:ascii="宋体" w:hAnsi="宋体" w:cs="宋体"/>
          <w:b/>
          <w:kern w:val="0"/>
          <w:sz w:val="28"/>
          <w:szCs w:val="28"/>
        </w:rPr>
        <w:t>、质保期及售后服务</w:t>
      </w:r>
    </w:p>
    <w:p w14:paraId="193CEFB2">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rPr>
        <w:t xml:space="preserve"> 1、从项目验收合格之日起计算，成交供应商对所提供的设备要求提供三年免费上门保修服务(含厂家未提供保修的设备及其配件)，原厂家有更长保修期限的以厂家提供为准。</w:t>
      </w:r>
    </w:p>
    <w:p w14:paraId="370B9A8A">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2、对所有在保修期内的设备，设备维修期间免费提供相应备用设备，并保证备用设备的性能不低于原设备。</w:t>
      </w:r>
    </w:p>
    <w:p w14:paraId="329B8204">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3、在保修期内，产品在使用中出现故障，产品的零、部件在外观上出现物理损坏，如芯片烧毁、线路烧断等情况时，成交供应商不能单方面判断为人为损坏或非正常损坏而拒绝保修，除非成交供应商能提供国家认可的、权威的鉴定单位出具的鉴定报告。</w:t>
      </w:r>
    </w:p>
    <w:p w14:paraId="23DC5A00">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4、保修期内用户所购设备各部件发生非人为故障，供货商应免费上门更换同种品牌规格型号的新部件;设备发生人为故障的，供货商应上门更换同种品牌规格型号的新部件，只收零配件成本，不加收其它任何费用，提供软件的免费维护和升级服务。</w:t>
      </w:r>
    </w:p>
    <w:p w14:paraId="61F21558">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5、投标供应商须提供详尽的售后服务内容和承诺，合同执行阶段，因应设计的修改和现场的实际情况，采购人可对需求方案及货物(规格、数量等)作出适当的调整，并以双方签署的有关文件为依据。因设备增减引起的价格变动，应以合同的设备单价调整总价。无法依据的，双方商定。</w:t>
      </w:r>
    </w:p>
    <w:p w14:paraId="2539711C">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6、保修期满后成交供应商向采购方提供合同设备的终身维修服务，只收零备件费，并以优惠价格提供。</w:t>
      </w:r>
    </w:p>
    <w:p w14:paraId="70E638C4">
      <w:pPr>
        <w:keepNext/>
        <w:keepLines w:val="0"/>
        <w:pageBreakBefore w:val="0"/>
        <w:widowControl w:val="0"/>
        <w:kinsoku/>
        <w:wordWrap w:val="0"/>
        <w:overflowPunct/>
        <w:topLinePunct/>
        <w:autoSpaceDE/>
        <w:autoSpaceDN/>
        <w:bidi w:val="0"/>
        <w:jc w:val="left"/>
        <w:textAlignment w:val="auto"/>
        <w:rPr>
          <w:rFonts w:hint="default" w:ascii="Times New Roman" w:hAnsi="Times New Roman" w:eastAsia="宋体" w:cs="Times New Roman"/>
          <w:kern w:val="2"/>
          <w:sz w:val="21"/>
          <w:lang w:val="en-US" w:eastAsia="zh-CN" w:bidi="ar-SA"/>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E740C"/>
    <w:rsid w:val="19FC4869"/>
    <w:rsid w:val="2AB56DB1"/>
    <w:rsid w:val="372F7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1966</Words>
  <Characters>2089</Characters>
  <Lines>0</Lines>
  <Paragraphs>0</Paragraphs>
  <TotalTime>0</TotalTime>
  <ScaleCrop>false</ScaleCrop>
  <LinksUpToDate>false</LinksUpToDate>
  <CharactersWithSpaces>2113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2026-07-06T06:25:00Z</dcterms:created>
  <dc:creator>admin</dc:creator>
  <cp:lastModifiedBy>夏未凉</cp:lastModifiedBy>
  <dcterms:modified xsi:type="dcterms:W3CDTF">2026-07-17T07:31:07Z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eyJoZGlkIjoiNDlhNDFmYmYwNmZjOTZkNGIyZGI1ZWY1YWVlNDg2MjciLCJ1c2VySWQiOiI0NDQ1MjU3MTgifQ==</vt:lpwstr>
  </property>
  <property fmtid="{D5CDD505-2E9C-101B-9397-08002B2CF9AE}" pid="4" name="ICV">
    <vt:lpwstr>B248F10C84294C1A9716CA4DE2AED4C0_12</vt:lpwstr>
  </property>
</Properties>
</file>