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41C69">
      <w:pPr>
        <w:keepNext/>
        <w:suppressAutoHyphens/>
        <w:spacing w:line="600" w:lineRule="auto"/>
        <w:jc w:val="center"/>
        <w:rPr>
          <w:rFonts w:hint="eastAsia" w:ascii="华文中宋" w:hAnsi="华文中宋" w:eastAsia="华文中宋"/>
          <w:b/>
          <w:sz w:val="40"/>
          <w:szCs w:val="40"/>
          <w:lang w:eastAsia="zh-CN"/>
        </w:rPr>
      </w:pPr>
      <w:r>
        <w:rPr>
          <w:rFonts w:hint="eastAsia" w:ascii="华文中宋" w:hAnsi="华文中宋" w:eastAsia="华文中宋"/>
          <w:b/>
          <w:sz w:val="40"/>
          <w:szCs w:val="40"/>
        </w:rPr>
        <w:t>枞阳县中医院污水处理自检自测项目</w:t>
      </w:r>
      <w:r>
        <w:rPr>
          <w:rFonts w:hint="eastAsia" w:ascii="华文中宋" w:hAnsi="华文中宋" w:eastAsia="华文中宋"/>
          <w:b/>
          <w:sz w:val="40"/>
          <w:szCs w:val="40"/>
          <w:lang w:eastAsia="zh-CN"/>
        </w:rPr>
        <w:t>（</w:t>
      </w:r>
      <w:r>
        <w:rPr>
          <w:rFonts w:hint="eastAsia" w:ascii="华文中宋" w:hAnsi="华文中宋" w:eastAsia="华文中宋"/>
          <w:b/>
          <w:sz w:val="40"/>
          <w:szCs w:val="40"/>
          <w:lang w:val="en-US" w:eastAsia="zh-CN"/>
        </w:rPr>
        <w:t>三次</w:t>
      </w:r>
      <w:r>
        <w:rPr>
          <w:rFonts w:hint="eastAsia" w:ascii="华文中宋" w:hAnsi="华文中宋" w:eastAsia="华文中宋"/>
          <w:b/>
          <w:sz w:val="40"/>
          <w:szCs w:val="40"/>
          <w:lang w:eastAsia="zh-CN"/>
        </w:rPr>
        <w:t>）</w:t>
      </w:r>
    </w:p>
    <w:p w14:paraId="7B5A317D">
      <w:pPr>
        <w:keepNext/>
        <w:suppressAutoHyphens/>
        <w:spacing w:line="600" w:lineRule="auto"/>
        <w:jc w:val="center"/>
        <w:rPr>
          <w:rFonts w:hint="eastAsia" w:ascii="华文中宋" w:hAnsi="华文中宋" w:eastAsia="华文中宋"/>
          <w:b/>
          <w:sz w:val="40"/>
          <w:szCs w:val="40"/>
          <w:lang w:val="en-US" w:eastAsia="zh-CN"/>
        </w:rPr>
      </w:pPr>
      <w:r>
        <w:rPr>
          <w:rFonts w:hint="eastAsia" w:ascii="华文中宋" w:hAnsi="华文中宋" w:eastAsia="华文中宋"/>
          <w:b/>
          <w:sz w:val="40"/>
          <w:szCs w:val="40"/>
          <w:lang w:val="en-US" w:eastAsia="zh-CN"/>
        </w:rPr>
        <w:t>采购需求</w:t>
      </w:r>
      <w:bookmarkStart w:id="0" w:name="_GoBack"/>
      <w:bookmarkEnd w:id="0"/>
    </w:p>
    <w:p w14:paraId="528BA600">
      <w:pPr>
        <w:keepNext/>
        <w:suppressAutoHyphens/>
        <w:adjustRightInd w:val="0"/>
        <w:snapToGrid w:val="0"/>
        <w:spacing w:line="480" w:lineRule="exact"/>
        <w:rPr>
          <w:rFonts w:ascii="仿宋" w:hAnsi="仿宋" w:eastAsia="仿宋" w:cs="华文仿宋"/>
          <w:b/>
          <w:kern w:val="0"/>
          <w:sz w:val="28"/>
          <w:szCs w:val="28"/>
        </w:rPr>
      </w:pPr>
      <w:r>
        <w:rPr>
          <w:rFonts w:hint="eastAsia" w:ascii="仿宋" w:hAnsi="仿宋" w:eastAsia="仿宋" w:cs="华文仿宋"/>
          <w:b/>
          <w:kern w:val="0"/>
          <w:sz w:val="28"/>
          <w:szCs w:val="28"/>
          <w:lang w:val="en-US" w:eastAsia="zh-CN"/>
        </w:rPr>
        <w:t>一、</w:t>
      </w:r>
      <w:r>
        <w:rPr>
          <w:rFonts w:hint="eastAsia" w:ascii="仿宋" w:hAnsi="仿宋" w:eastAsia="仿宋" w:cs="华文仿宋"/>
          <w:b/>
          <w:kern w:val="0"/>
          <w:sz w:val="28"/>
          <w:szCs w:val="28"/>
        </w:rPr>
        <w:t>项目实施内容</w:t>
      </w:r>
    </w:p>
    <w:p w14:paraId="3CDAF03C">
      <w:pPr>
        <w:keepNext/>
        <w:widowControl/>
        <w:adjustRightInd w:val="0"/>
        <w:snapToGrid w:val="0"/>
        <w:spacing w:line="480" w:lineRule="exact"/>
        <w:ind w:firstLine="420" w:firstLineChars="15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bCs/>
          <w:sz w:val="28"/>
          <w:szCs w:val="28"/>
        </w:rPr>
        <w:t>通过询价采购方式确定一家服务单位，根据《排污许可证》及</w:t>
      </w:r>
      <w:r>
        <w:rPr>
          <w:rFonts w:hint="eastAsia" w:ascii="仿宋" w:hAnsi="仿宋" w:eastAsia="仿宋"/>
          <w:b w:val="0"/>
          <w:bCs/>
          <w:sz w:val="28"/>
          <w:szCs w:val="28"/>
        </w:rPr>
        <w:t>生态环境行政主管部门调整检测内</w:t>
      </w:r>
      <w:r>
        <w:rPr>
          <w:rFonts w:hint="eastAsia" w:ascii="仿宋" w:hAnsi="仿宋" w:eastAsia="仿宋" w:cs="华文仿宋"/>
          <w:b w:val="0"/>
          <w:bCs/>
          <w:kern w:val="0"/>
          <w:sz w:val="28"/>
          <w:szCs w:val="28"/>
        </w:rPr>
        <w:t>容</w:t>
      </w:r>
      <w:r>
        <w:rPr>
          <w:rFonts w:hint="eastAsia" w:ascii="仿宋" w:hAnsi="仿宋" w:eastAsia="仿宋"/>
          <w:b w:val="0"/>
          <w:bCs/>
          <w:sz w:val="28"/>
          <w:szCs w:val="28"/>
        </w:rPr>
        <w:t>的</w:t>
      </w:r>
      <w:r>
        <w:rPr>
          <w:rFonts w:hint="eastAsia" w:ascii="仿宋" w:hAnsi="仿宋" w:eastAsia="仿宋" w:cs="宋体"/>
          <w:b w:val="0"/>
          <w:bCs/>
          <w:sz w:val="28"/>
          <w:szCs w:val="28"/>
        </w:rPr>
        <w:t>要求，对枞阳县中医院排放废水、废气、噪声等进行监测和信息公开服务。</w:t>
      </w:r>
      <w:r>
        <w:rPr>
          <w:rFonts w:hint="eastAsia" w:ascii="仿宋" w:hAnsi="仿宋" w:eastAsia="仿宋" w:cs="宋体"/>
          <w:kern w:val="0"/>
          <w:sz w:val="28"/>
          <w:szCs w:val="28"/>
        </w:rPr>
        <w:t>《排污许可证》监测内容：</w:t>
      </w:r>
    </w:p>
    <w:tbl>
      <w:tblPr>
        <w:tblStyle w:val="2"/>
        <w:tblW w:w="91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120"/>
        <w:gridCol w:w="904"/>
        <w:gridCol w:w="2253"/>
        <w:gridCol w:w="1554"/>
        <w:gridCol w:w="2100"/>
      </w:tblGrid>
      <w:tr w14:paraId="2D6B9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180" w:type="dxa"/>
            <w:vAlign w:val="center"/>
          </w:tcPr>
          <w:p w14:paraId="4415A77E">
            <w:pPr>
              <w:keepNext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污染源</w:t>
            </w:r>
          </w:p>
          <w:p w14:paraId="4EAC7CAB">
            <w:pPr>
              <w:keepNext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类别</w:t>
            </w:r>
          </w:p>
        </w:tc>
        <w:tc>
          <w:tcPr>
            <w:tcW w:w="1120" w:type="dxa"/>
            <w:tcBorders>
              <w:bottom w:val="single" w:color="auto" w:sz="4" w:space="0"/>
            </w:tcBorders>
            <w:vAlign w:val="center"/>
          </w:tcPr>
          <w:p w14:paraId="57A9C476">
            <w:pPr>
              <w:keepNext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点位</w:t>
            </w:r>
          </w:p>
        </w:tc>
        <w:tc>
          <w:tcPr>
            <w:tcW w:w="904" w:type="dxa"/>
            <w:vAlign w:val="center"/>
          </w:tcPr>
          <w:p w14:paraId="02ABD767">
            <w:pPr>
              <w:keepNext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点位数</w:t>
            </w:r>
          </w:p>
        </w:tc>
        <w:tc>
          <w:tcPr>
            <w:tcW w:w="2253" w:type="dxa"/>
            <w:vAlign w:val="center"/>
          </w:tcPr>
          <w:p w14:paraId="38AE10AF">
            <w:pPr>
              <w:keepNext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监测因子</w:t>
            </w:r>
          </w:p>
        </w:tc>
        <w:tc>
          <w:tcPr>
            <w:tcW w:w="1554" w:type="dxa"/>
            <w:vAlign w:val="center"/>
          </w:tcPr>
          <w:p w14:paraId="38895D7C">
            <w:pPr>
              <w:keepNext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频次</w:t>
            </w:r>
          </w:p>
        </w:tc>
        <w:tc>
          <w:tcPr>
            <w:tcW w:w="2100" w:type="dxa"/>
            <w:vAlign w:val="center"/>
          </w:tcPr>
          <w:p w14:paraId="0CB05512">
            <w:pPr>
              <w:keepNext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标准限值</w:t>
            </w:r>
          </w:p>
        </w:tc>
      </w:tr>
      <w:tr w14:paraId="5A642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180" w:type="dxa"/>
            <w:vMerge w:val="restart"/>
            <w:tcBorders>
              <w:right w:val="single" w:color="auto" w:sz="4" w:space="0"/>
            </w:tcBorders>
            <w:vAlign w:val="center"/>
          </w:tcPr>
          <w:p w14:paraId="08902A37">
            <w:pPr>
              <w:keepNext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废水</w:t>
            </w:r>
          </w:p>
          <w:p w14:paraId="7A6A1152">
            <w:pPr>
              <w:keepNext/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8EBDAB">
            <w:pPr>
              <w:keepNext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综合污水排放口</w:t>
            </w:r>
          </w:p>
        </w:tc>
        <w:tc>
          <w:tcPr>
            <w:tcW w:w="904" w:type="dxa"/>
            <w:tcBorders>
              <w:left w:val="single" w:color="auto" w:sz="4" w:space="0"/>
            </w:tcBorders>
            <w:vAlign w:val="center"/>
          </w:tcPr>
          <w:p w14:paraId="7C9DBB19">
            <w:pPr>
              <w:keepNext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</w:t>
            </w:r>
          </w:p>
        </w:tc>
        <w:tc>
          <w:tcPr>
            <w:tcW w:w="2253" w:type="dxa"/>
            <w:vAlign w:val="center"/>
          </w:tcPr>
          <w:p w14:paraId="0EE6AB93">
            <w:pPr>
              <w:keepNext/>
              <w:jc w:val="center"/>
              <w:rPr>
                <w:rFonts w:ascii="仿宋" w:hAnsi="仿宋" w:eastAsia="仿宋"/>
                <w:sz w:val="22"/>
                <w:szCs w:val="18"/>
              </w:rPr>
            </w:pPr>
            <w:r>
              <w:rPr>
                <w:rFonts w:hint="eastAsia" w:ascii="仿宋" w:hAnsi="仿宋" w:eastAsia="仿宋"/>
                <w:sz w:val="22"/>
                <w:szCs w:val="18"/>
              </w:rPr>
              <w:t>PH</w:t>
            </w:r>
          </w:p>
        </w:tc>
        <w:tc>
          <w:tcPr>
            <w:tcW w:w="1554" w:type="dxa"/>
            <w:vAlign w:val="center"/>
          </w:tcPr>
          <w:p w14:paraId="27495BEC">
            <w:pPr>
              <w:keepNext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1次/12小时</w:t>
            </w:r>
            <w:r>
              <w:rPr>
                <w:rFonts w:hint="eastAsia" w:eastAsia="仿宋"/>
                <w:sz w:val="22"/>
                <w:szCs w:val="22"/>
              </w:rPr>
              <w:t> </w:t>
            </w:r>
          </w:p>
        </w:tc>
        <w:tc>
          <w:tcPr>
            <w:tcW w:w="2100" w:type="dxa"/>
            <w:vAlign w:val="center"/>
          </w:tcPr>
          <w:p w14:paraId="5DEDCA45">
            <w:pPr>
              <w:keepNext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</w:p>
        </w:tc>
      </w:tr>
      <w:tr w14:paraId="34A09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 w14:paraId="093CDA4B">
            <w:pPr>
              <w:keepNext/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1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2A38BE">
            <w:pPr>
              <w:keepNext/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904" w:type="dxa"/>
            <w:tcBorders>
              <w:left w:val="single" w:color="auto" w:sz="4" w:space="0"/>
            </w:tcBorders>
            <w:vAlign w:val="center"/>
          </w:tcPr>
          <w:p w14:paraId="3319A6D2">
            <w:pPr>
              <w:keepNext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</w:t>
            </w:r>
          </w:p>
        </w:tc>
        <w:tc>
          <w:tcPr>
            <w:tcW w:w="2253" w:type="dxa"/>
            <w:vAlign w:val="center"/>
          </w:tcPr>
          <w:p w14:paraId="32E5AAA1">
            <w:pPr>
              <w:keepNext/>
              <w:jc w:val="center"/>
              <w:rPr>
                <w:rFonts w:ascii="仿宋" w:hAnsi="仿宋" w:eastAsia="仿宋"/>
                <w:sz w:val="22"/>
                <w:szCs w:val="18"/>
              </w:rPr>
            </w:pPr>
            <w:r>
              <w:rPr>
                <w:rFonts w:hint="eastAsia" w:ascii="仿宋" w:hAnsi="仿宋" w:eastAsia="仿宋"/>
                <w:sz w:val="22"/>
                <w:szCs w:val="18"/>
              </w:rPr>
              <w:t>悬浮物、化学需氧量</w:t>
            </w:r>
          </w:p>
        </w:tc>
        <w:tc>
          <w:tcPr>
            <w:tcW w:w="1554" w:type="dxa"/>
            <w:vAlign w:val="center"/>
          </w:tcPr>
          <w:p w14:paraId="38B38C45">
            <w:pPr>
              <w:keepNext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1次/周</w:t>
            </w:r>
            <w:r>
              <w:rPr>
                <w:rFonts w:hint="eastAsia" w:eastAsia="仿宋"/>
                <w:sz w:val="22"/>
                <w:szCs w:val="22"/>
              </w:rPr>
              <w:t> </w:t>
            </w:r>
          </w:p>
        </w:tc>
        <w:tc>
          <w:tcPr>
            <w:tcW w:w="2100" w:type="dxa"/>
            <w:vAlign w:val="center"/>
          </w:tcPr>
          <w:p w14:paraId="2C9F544D">
            <w:pPr>
              <w:keepNext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</w:p>
        </w:tc>
      </w:tr>
      <w:tr w14:paraId="460EC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 w14:paraId="3FF58F8E">
            <w:pPr>
              <w:keepNext/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1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50940C">
            <w:pPr>
              <w:keepNext/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904" w:type="dxa"/>
            <w:tcBorders>
              <w:left w:val="single" w:color="auto" w:sz="4" w:space="0"/>
            </w:tcBorders>
            <w:vAlign w:val="center"/>
          </w:tcPr>
          <w:p w14:paraId="0F0178D7">
            <w:pPr>
              <w:keepNext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</w:t>
            </w:r>
          </w:p>
        </w:tc>
        <w:tc>
          <w:tcPr>
            <w:tcW w:w="2253" w:type="dxa"/>
            <w:vAlign w:val="center"/>
          </w:tcPr>
          <w:p w14:paraId="2E092754">
            <w:pPr>
              <w:keepNext/>
              <w:jc w:val="center"/>
              <w:rPr>
                <w:rFonts w:ascii="仿宋" w:hAnsi="仿宋" w:eastAsia="仿宋"/>
                <w:sz w:val="22"/>
                <w:szCs w:val="18"/>
              </w:rPr>
            </w:pPr>
            <w:r>
              <w:rPr>
                <w:rFonts w:hint="eastAsia" w:ascii="仿宋" w:hAnsi="仿宋" w:eastAsia="仿宋"/>
                <w:sz w:val="22"/>
                <w:szCs w:val="18"/>
              </w:rPr>
              <w:t>五日生化需氧量、阴离子表面活性剂、石油类、动植物油、挥发酚、总氰化物、</w:t>
            </w:r>
            <w:r>
              <w:rPr>
                <w:rFonts w:ascii="仿宋" w:hAnsi="仿宋" w:eastAsia="仿宋" w:cs="Arial"/>
                <w:kern w:val="0"/>
                <w:sz w:val="20"/>
              </w:rPr>
              <w:t>色度</w:t>
            </w:r>
            <w:r>
              <w:rPr>
                <w:rFonts w:hint="eastAsia" w:ascii="仿宋" w:hAnsi="仿宋" w:eastAsia="仿宋" w:cs="Arial"/>
                <w:kern w:val="0"/>
                <w:sz w:val="20"/>
              </w:rPr>
              <w:t>、氨氮（NH3-N）、总余氯（以Cl计）、</w:t>
            </w:r>
            <w:r>
              <w:rPr>
                <w:rFonts w:ascii="仿宋" w:hAnsi="仿宋" w:eastAsia="仿宋" w:cs="Arial"/>
                <w:sz w:val="20"/>
                <w:shd w:val="clear" w:color="auto" w:fill="FFFFFF"/>
              </w:rPr>
              <w:t>肠道致病菌</w:t>
            </w:r>
            <w:r>
              <w:rPr>
                <w:rFonts w:hint="eastAsia" w:ascii="仿宋" w:hAnsi="仿宋" w:eastAsia="仿宋" w:cs="Arial"/>
                <w:sz w:val="20"/>
                <w:shd w:val="clear" w:color="auto" w:fill="FFFFFF"/>
              </w:rPr>
              <w:t>、</w:t>
            </w:r>
            <w:r>
              <w:rPr>
                <w:rFonts w:ascii="仿宋" w:hAnsi="仿宋" w:eastAsia="仿宋" w:cs="Arial"/>
                <w:sz w:val="20"/>
                <w:shd w:val="clear" w:color="auto" w:fill="FFFFFF"/>
              </w:rPr>
              <w:t>肠道病毒</w:t>
            </w:r>
          </w:p>
        </w:tc>
        <w:tc>
          <w:tcPr>
            <w:tcW w:w="1554" w:type="dxa"/>
            <w:vAlign w:val="center"/>
          </w:tcPr>
          <w:p w14:paraId="6AFE48BD">
            <w:pPr>
              <w:keepNext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1次/季</w:t>
            </w:r>
          </w:p>
        </w:tc>
        <w:tc>
          <w:tcPr>
            <w:tcW w:w="2100" w:type="dxa"/>
            <w:vAlign w:val="center"/>
          </w:tcPr>
          <w:p w14:paraId="069C616B">
            <w:pPr>
              <w:keepNext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</w:p>
        </w:tc>
      </w:tr>
      <w:tr w14:paraId="56234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 w14:paraId="0B05ED26">
            <w:pPr>
              <w:keepNext/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1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FA90B4">
            <w:pPr>
              <w:keepNext/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904" w:type="dxa"/>
            <w:tcBorders>
              <w:left w:val="single" w:color="auto" w:sz="4" w:space="0"/>
            </w:tcBorders>
            <w:vAlign w:val="center"/>
          </w:tcPr>
          <w:p w14:paraId="773AB687">
            <w:pPr>
              <w:keepNext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</w:t>
            </w:r>
          </w:p>
        </w:tc>
        <w:tc>
          <w:tcPr>
            <w:tcW w:w="2253" w:type="dxa"/>
            <w:vAlign w:val="center"/>
          </w:tcPr>
          <w:p w14:paraId="228DB395">
            <w:pPr>
              <w:keepNext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18"/>
              </w:rPr>
              <w:t>粪大肠菌群数/（MPN/L）</w:t>
            </w:r>
          </w:p>
        </w:tc>
        <w:tc>
          <w:tcPr>
            <w:tcW w:w="1554" w:type="dxa"/>
            <w:vAlign w:val="center"/>
          </w:tcPr>
          <w:p w14:paraId="6A19A68D">
            <w:pPr>
              <w:keepNext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1次/月</w:t>
            </w:r>
          </w:p>
        </w:tc>
        <w:tc>
          <w:tcPr>
            <w:tcW w:w="2100" w:type="dxa"/>
            <w:vAlign w:val="center"/>
          </w:tcPr>
          <w:p w14:paraId="148DAF6D">
            <w:pPr>
              <w:keepNext/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 w14:paraId="3C1A1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1180" w:type="dxa"/>
            <w:tcBorders>
              <w:right w:val="single" w:color="auto" w:sz="4" w:space="0"/>
            </w:tcBorders>
            <w:vAlign w:val="center"/>
          </w:tcPr>
          <w:p w14:paraId="1A47AAF5">
            <w:pPr>
              <w:keepNext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废气</w:t>
            </w:r>
          </w:p>
        </w:tc>
        <w:tc>
          <w:tcPr>
            <w:tcW w:w="11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ACA3D">
            <w:pPr>
              <w:keepNext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污水处理站周界</w:t>
            </w:r>
          </w:p>
        </w:tc>
        <w:tc>
          <w:tcPr>
            <w:tcW w:w="904" w:type="dxa"/>
            <w:tcBorders>
              <w:left w:val="single" w:color="auto" w:sz="4" w:space="0"/>
            </w:tcBorders>
            <w:vAlign w:val="center"/>
          </w:tcPr>
          <w:p w14:paraId="6E0BC302">
            <w:pPr>
              <w:keepNext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4</w:t>
            </w:r>
          </w:p>
        </w:tc>
        <w:tc>
          <w:tcPr>
            <w:tcW w:w="2253" w:type="dxa"/>
            <w:vAlign w:val="center"/>
          </w:tcPr>
          <w:p w14:paraId="7425C433">
            <w:pPr>
              <w:keepNext/>
              <w:jc w:val="center"/>
              <w:rPr>
                <w:rFonts w:ascii="仿宋" w:hAnsi="仿宋" w:eastAsia="仿宋"/>
                <w:sz w:val="22"/>
                <w:szCs w:val="18"/>
              </w:rPr>
            </w:pPr>
            <w:r>
              <w:rPr>
                <w:rFonts w:hint="eastAsia" w:ascii="仿宋" w:hAnsi="仿宋" w:eastAsia="仿宋"/>
                <w:sz w:val="22"/>
                <w:szCs w:val="18"/>
              </w:rPr>
              <w:t>甲烷、臭气浓度、氨（氨气）、氯、硫化氢</w:t>
            </w:r>
          </w:p>
        </w:tc>
        <w:tc>
          <w:tcPr>
            <w:tcW w:w="1554" w:type="dxa"/>
            <w:vAlign w:val="center"/>
          </w:tcPr>
          <w:p w14:paraId="3A7EC639">
            <w:pPr>
              <w:keepNext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1次/季</w:t>
            </w:r>
          </w:p>
        </w:tc>
        <w:tc>
          <w:tcPr>
            <w:tcW w:w="2100" w:type="dxa"/>
            <w:vAlign w:val="center"/>
          </w:tcPr>
          <w:p w14:paraId="13CFF190">
            <w:pPr>
              <w:keepNext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医疗机构水污染物排放标准GB18466-2005</w:t>
            </w:r>
          </w:p>
        </w:tc>
      </w:tr>
      <w:tr w14:paraId="6E656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80" w:type="dxa"/>
            <w:vAlign w:val="center"/>
          </w:tcPr>
          <w:p w14:paraId="1CAD24CB">
            <w:pPr>
              <w:keepNext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噪声</w:t>
            </w:r>
          </w:p>
        </w:tc>
        <w:tc>
          <w:tcPr>
            <w:tcW w:w="1120" w:type="dxa"/>
            <w:tcBorders>
              <w:top w:val="single" w:color="auto" w:sz="4" w:space="0"/>
            </w:tcBorders>
            <w:vAlign w:val="center"/>
          </w:tcPr>
          <w:p w14:paraId="1DDEDBD4">
            <w:pPr>
              <w:keepNext/>
              <w:spacing w:before="1"/>
              <w:ind w:left="105"/>
              <w:jc w:val="center"/>
              <w:rPr>
                <w:rFonts w:ascii="仿宋" w:hAnsi="仿宋" w:eastAsia="仿宋" w:cs="宋体"/>
                <w:sz w:val="22"/>
                <w:szCs w:val="22"/>
                <w:lang w:val="zh-CN" w:bidi="zh-CN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val="zh-CN" w:bidi="zh-CN"/>
              </w:rPr>
              <w:t>厂界噪声</w:t>
            </w:r>
          </w:p>
        </w:tc>
        <w:tc>
          <w:tcPr>
            <w:tcW w:w="904" w:type="dxa"/>
            <w:vAlign w:val="center"/>
          </w:tcPr>
          <w:p w14:paraId="0416BFEA">
            <w:pPr>
              <w:keepNext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4</w:t>
            </w:r>
          </w:p>
        </w:tc>
        <w:tc>
          <w:tcPr>
            <w:tcW w:w="2253" w:type="dxa"/>
            <w:vAlign w:val="center"/>
          </w:tcPr>
          <w:p w14:paraId="20BEB5D4">
            <w:pPr>
              <w:keepNext/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554" w:type="dxa"/>
            <w:vAlign w:val="center"/>
          </w:tcPr>
          <w:p w14:paraId="5529CD45">
            <w:pPr>
              <w:keepNext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1次/季</w:t>
            </w:r>
          </w:p>
        </w:tc>
        <w:tc>
          <w:tcPr>
            <w:tcW w:w="2100" w:type="dxa"/>
            <w:vAlign w:val="center"/>
          </w:tcPr>
          <w:p w14:paraId="062C432E">
            <w:pPr>
              <w:keepNext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工业企业厂界环境噪声排放标准GB12348-2008</w:t>
            </w:r>
          </w:p>
        </w:tc>
      </w:tr>
      <w:tr w14:paraId="15089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80" w:type="dxa"/>
            <w:vAlign w:val="center"/>
          </w:tcPr>
          <w:p w14:paraId="3B665DFB">
            <w:pPr>
              <w:keepNext/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120" w:type="dxa"/>
            <w:vAlign w:val="center"/>
          </w:tcPr>
          <w:p w14:paraId="35A13F40">
            <w:pPr>
              <w:keepNext/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904" w:type="dxa"/>
            <w:vAlign w:val="center"/>
          </w:tcPr>
          <w:p w14:paraId="3E0167E8">
            <w:pPr>
              <w:keepNext/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2253" w:type="dxa"/>
            <w:vAlign w:val="center"/>
          </w:tcPr>
          <w:p w14:paraId="7CD90CA7">
            <w:pPr>
              <w:keepNext/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554" w:type="dxa"/>
            <w:vAlign w:val="center"/>
          </w:tcPr>
          <w:p w14:paraId="51CAAF46">
            <w:pPr>
              <w:keepNext/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2100" w:type="dxa"/>
            <w:vAlign w:val="center"/>
          </w:tcPr>
          <w:p w14:paraId="381C66B5">
            <w:pPr>
              <w:keepNext/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 w14:paraId="43BEA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9111" w:type="dxa"/>
            <w:gridSpan w:val="6"/>
            <w:vAlign w:val="center"/>
          </w:tcPr>
          <w:p w14:paraId="4E2F15E1">
            <w:pPr>
              <w:keepNext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2"/>
              </w:rPr>
              <w:t>备注：项目检测内容和要求按照枞阳县中医院排污许可证要求实施，并根据生态环境行政主管部门要求企业自行监测完成5个工作日内将检测结果上传全国排污许可管理平台公开。</w:t>
            </w:r>
          </w:p>
        </w:tc>
      </w:tr>
    </w:tbl>
    <w:p w14:paraId="2BEBFD80">
      <w:pPr>
        <w:keepNext/>
        <w:spacing w:line="480" w:lineRule="exact"/>
        <w:rPr>
          <w:rFonts w:hint="eastAsia" w:ascii="仿宋" w:hAnsi="仿宋" w:eastAsia="仿宋" w:cs="华文仿宋"/>
          <w:b/>
          <w:kern w:val="0"/>
          <w:sz w:val="10"/>
          <w:szCs w:val="10"/>
          <w:lang w:eastAsia="zh-CN"/>
        </w:rPr>
      </w:pPr>
    </w:p>
    <w:p w14:paraId="4D88ED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D649E6"/>
    <w:rsid w:val="2F4233DB"/>
    <w:rsid w:val="4DB4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405</Words>
  <Characters>439</Characters>
  <Lines>0</Lines>
  <Paragraphs>0</Paragraphs>
  <TotalTime>0</TotalTime>
  <ScaleCrop>false</ScaleCrop>
  <LinksUpToDate>false</LinksUpToDate>
  <CharactersWithSpaces>441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2026-03-26T07:39:00Z</dcterms:created>
  <dc:creator>admin</dc:creator>
  <cp:lastModifiedBy>夏未凉</cp:lastModifiedBy>
  <dcterms:modified xsi:type="dcterms:W3CDTF">2026-04-17T06:54:38Z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eyJoZGlkIjoiNDlhNDFmYmYwNmZjOTZkNGIyZGI1ZWY1YWVlNDg2MjciLCJ1c2VySWQiOiI0NDQ1MjU3MTgifQ==</vt:lpwstr>
  </property>
  <property fmtid="{D5CDD505-2E9C-101B-9397-08002B2CF9AE}" pid="4" name="ICV">
    <vt:lpwstr>53C17323815143DBB8058B3F8FEF40D7_12</vt:lpwstr>
  </property>
</Properties>
</file>