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32148">
      <w:pPr>
        <w:pStyle w:val="6"/>
        <w:keepNext/>
        <w:keepLines w:val="0"/>
        <w:pageBreakBefore w:val="0"/>
        <w:numPr>
          <w:ilvl w:val="0"/>
          <w:numId w:val="0"/>
        </w:numPr>
        <w:suppressAutoHyphens/>
        <w:topLinePunct w:val="0"/>
        <w:bidi w:val="0"/>
        <w:spacing w:line="540" w:lineRule="exact"/>
        <w:textAlignment w:val="auto"/>
        <w:rPr>
          <w:rFonts w:hint="eastAsia" w:ascii="华文中宋" w:hAnsi="华文中宋" w:eastAsia="华文中宋"/>
          <w:b/>
          <w:sz w:val="40"/>
          <w:szCs w:val="40"/>
          <w:lang w:val="en-US" w:eastAsia="zh-CN"/>
        </w:rPr>
      </w:pPr>
      <w:bookmarkStart w:id="21" w:name="_GoBack"/>
      <w:bookmarkEnd w:id="21"/>
      <w:r>
        <w:rPr>
          <w:rFonts w:hint="eastAsia" w:ascii="华文中宋" w:hAnsi="华文中宋" w:eastAsia="华文中宋"/>
          <w:b/>
          <w:sz w:val="40"/>
          <w:szCs w:val="40"/>
          <w:lang w:val="en-US" w:eastAsia="zh-CN"/>
        </w:rPr>
        <w:t>枞阳县中医院药品追溯码系统采购项目（二次）</w:t>
      </w:r>
    </w:p>
    <w:p w14:paraId="31DEA1C6">
      <w:pPr>
        <w:ind w:firstLine="3203" w:firstLineChars="800"/>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采购需求</w:t>
      </w:r>
    </w:p>
    <w:p w14:paraId="20C61724">
      <w:pPr>
        <w:bidi w:val="0"/>
        <w:rPr>
          <w:rFonts w:hint="eastAsia" w:ascii="Times New Roman" w:hAnsi="Times New Roman" w:eastAsia="宋体" w:cs="Times New Roman"/>
          <w:kern w:val="2"/>
          <w:sz w:val="21"/>
          <w:lang w:val="en-US" w:eastAsia="zh-CN" w:bidi="ar-SA"/>
        </w:rPr>
      </w:pPr>
    </w:p>
    <w:p w14:paraId="70055008">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textAlignment w:val="auto"/>
        <w:rPr>
          <w:rFonts w:hint="eastAsia" w:ascii="仿宋" w:hAnsi="仿宋" w:eastAsia="仿宋" w:cs="仿宋"/>
          <w:b/>
          <w:kern w:val="0"/>
          <w:sz w:val="28"/>
          <w:szCs w:val="28"/>
          <w:lang w:val="en-US" w:eastAsia="zh-CN"/>
        </w:rPr>
      </w:pPr>
      <w:r>
        <w:rPr>
          <w:rFonts w:hint="eastAsia"/>
          <w:b/>
          <w:bCs/>
          <w:sz w:val="32"/>
          <w:szCs w:val="28"/>
          <w:lang w:val="en-US" w:eastAsia="zh-CN"/>
        </w:rPr>
        <w:t>一、</w:t>
      </w:r>
      <w:r>
        <w:rPr>
          <w:rFonts w:hint="eastAsia" w:ascii="仿宋" w:hAnsi="仿宋" w:eastAsia="仿宋" w:cs="仿宋"/>
          <w:b/>
          <w:kern w:val="0"/>
          <w:sz w:val="28"/>
          <w:szCs w:val="28"/>
          <w:lang w:val="en-US" w:eastAsia="zh-CN"/>
        </w:rPr>
        <w:t>采购内容及要求</w:t>
      </w:r>
    </w:p>
    <w:p w14:paraId="7F9F0A45">
      <w:pPr>
        <w:keepNext/>
        <w:keepLines w:val="0"/>
        <w:pageBreakBefore w:val="0"/>
        <w:widowControl w:val="0"/>
        <w:suppressLineNumbers/>
        <w:suppressAutoHyphens/>
        <w:kinsoku w:val="0"/>
        <w:wordWrap w:val="0"/>
        <w:overflowPunct w:val="0"/>
        <w:topLinePunct w:val="0"/>
        <w:autoSpaceDE w:val="0"/>
        <w:autoSpaceDN w:val="0"/>
        <w:bidi w:val="0"/>
        <w:adjustRightInd w:val="0"/>
        <w:snapToGrid w:val="0"/>
        <w:spacing w:line="460" w:lineRule="exact"/>
        <w:ind w:firstLine="560" w:firstLineChars="200"/>
        <w:rPr>
          <w:rFonts w:hint="eastAsia" w:ascii="仿宋" w:hAnsi="仿宋" w:eastAsia="仿宋" w:cs="仿宋"/>
          <w:b w:val="0"/>
          <w:bCs w:val="0"/>
          <w:sz w:val="28"/>
          <w:szCs w:val="28"/>
          <w:shd w:val="clear" w:color="auto" w:fill="FFFFFF"/>
          <w:lang w:eastAsia="zh-CN"/>
        </w:rPr>
      </w:pPr>
      <w:r>
        <w:rPr>
          <w:rFonts w:hint="eastAsia" w:ascii="仿宋" w:hAnsi="仿宋" w:eastAsia="仿宋" w:cs="仿宋"/>
          <w:b w:val="0"/>
          <w:bCs w:val="0"/>
          <w:sz w:val="28"/>
          <w:szCs w:val="28"/>
          <w:shd w:val="clear" w:color="auto" w:fill="FFFFFF"/>
        </w:rPr>
        <w:t>委托第三方系统软件对我院多场景扫码采集、智能数据解析、医保数据上传、异常预警机制、全流程追溯视图需满足的要求:满足药房发药扫描药品追溯码，维护药品追溯码，上传追溯码信息至医保功能</w:t>
      </w:r>
      <w:r>
        <w:rPr>
          <w:rFonts w:hint="eastAsia" w:ascii="仿宋" w:hAnsi="仿宋" w:eastAsia="仿宋" w:cs="仿宋"/>
          <w:b w:val="0"/>
          <w:bCs w:val="0"/>
          <w:sz w:val="28"/>
          <w:szCs w:val="28"/>
          <w:shd w:val="clear" w:color="auto" w:fill="FFFFFF"/>
          <w:lang w:eastAsia="zh-CN"/>
        </w:rPr>
        <w:t>。</w:t>
      </w:r>
    </w:p>
    <w:p w14:paraId="4EDFDDB8">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 w:hAnsi="仿宋" w:eastAsia="仿宋" w:cs="仿宋"/>
          <w:b/>
          <w:bCs/>
          <w:sz w:val="30"/>
          <w:szCs w:val="30"/>
        </w:rPr>
      </w:pPr>
      <w:r>
        <w:rPr>
          <w:rFonts w:hint="eastAsia" w:ascii="仿宋" w:hAnsi="仿宋" w:eastAsia="仿宋" w:cs="仿宋"/>
          <w:b/>
          <w:bCs/>
          <w:sz w:val="28"/>
          <w:szCs w:val="28"/>
          <w:shd w:val="clear" w:color="auto" w:fill="FFFFFF"/>
          <w:lang w:val="en-US" w:eastAsia="zh-CN"/>
        </w:rPr>
        <w:t>（一）</w:t>
      </w:r>
      <w:r>
        <w:rPr>
          <w:rFonts w:hint="eastAsia" w:ascii="仿宋" w:hAnsi="仿宋" w:eastAsia="仿宋" w:cs="仿宋"/>
          <w:b/>
          <w:bCs/>
          <w:sz w:val="30"/>
          <w:szCs w:val="30"/>
        </w:rPr>
        <w:t>建设要求</w:t>
      </w:r>
    </w:p>
    <w:p w14:paraId="6FA1D9C5">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1、系统能够对医院所有含追溯码的药品实现全品种、全量采集并上传至医保信息平台，追溯码采集率、合规率符合医保局规定要求。</w:t>
      </w:r>
    </w:p>
    <w:p w14:paraId="5CE73FB8">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2、对全院所有院区，包括门急诊药房、药库、住院药房的整盒及拆零等药品实现追溯码采集上传工作；同时具备药库、门急诊药房、住院药房、二级库、出院带药、退药、报表管理等药品追溯码管理功能模块。</w:t>
      </w:r>
    </w:p>
    <w:p w14:paraId="3C2AFDFC">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3、当医保及药监部门政策要求变更时，如接收平台更换、接收代码变更等，服务期内能够对系统进行免费升级及改造且根据医院要求免费对接其他第三方软件系统。</w:t>
      </w:r>
    </w:p>
    <w:p w14:paraId="7FA97FB5">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4、系统性能要求：支持多品种多数量追溯码批量采集上传，支持同一患者多张处方一次性核发上传；软件弹框对错误、多拿、少拿药品进行提示；可支持在发药和摆药两个阶段进行药品追溯码扫描。</w:t>
      </w:r>
    </w:p>
    <w:p w14:paraId="408EA906">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5、应保证满足上级主管医保部门的文件要求，并确保在文件的期限内进行相应的系统维护，如不能在其规定的期限内完成，给医院造成损失的，需承担相应的责任。</w:t>
      </w:r>
    </w:p>
    <w:p w14:paraId="51B3B17D">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6、其他要求：后期如果医保局以奖代补发放医院追溯码采集上传设备，须无条件、免费配合医院安装升级或调试，不得以软硬件绑定销售。</w:t>
      </w:r>
    </w:p>
    <w:p w14:paraId="509FC3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（二）采购清单</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6056"/>
        <w:gridCol w:w="1322"/>
      </w:tblGrid>
      <w:tr w14:paraId="2B5F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pct"/>
            <w:noWrap w:val="0"/>
            <w:vAlign w:val="center"/>
          </w:tcPr>
          <w:p w14:paraId="6BF1BA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序号</w:t>
            </w:r>
          </w:p>
        </w:tc>
        <w:tc>
          <w:tcPr>
            <w:tcW w:w="3376" w:type="pct"/>
            <w:noWrap w:val="0"/>
            <w:vAlign w:val="center"/>
          </w:tcPr>
          <w:p w14:paraId="43A058B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服务内容</w:t>
            </w:r>
          </w:p>
        </w:tc>
        <w:tc>
          <w:tcPr>
            <w:tcW w:w="737" w:type="pct"/>
            <w:noWrap w:val="0"/>
            <w:vAlign w:val="center"/>
          </w:tcPr>
          <w:p w14:paraId="6AD4BD7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w:t>
            </w:r>
          </w:p>
        </w:tc>
      </w:tr>
      <w:tr w14:paraId="2F3D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5" w:type="pct"/>
            <w:noWrap w:val="0"/>
            <w:vAlign w:val="center"/>
          </w:tcPr>
          <w:p w14:paraId="01F800D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3376" w:type="pct"/>
            <w:noWrap w:val="0"/>
            <w:vAlign w:val="center"/>
          </w:tcPr>
          <w:p w14:paraId="02A9D3A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药品追溯管理系统</w:t>
            </w:r>
          </w:p>
        </w:tc>
        <w:tc>
          <w:tcPr>
            <w:tcW w:w="737" w:type="pct"/>
            <w:noWrap w:val="0"/>
            <w:vAlign w:val="center"/>
          </w:tcPr>
          <w:p w14:paraId="2B491ED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1套</w:t>
            </w:r>
          </w:p>
        </w:tc>
      </w:tr>
    </w:tbl>
    <w:p w14:paraId="39D506A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技术要求</w:t>
      </w:r>
    </w:p>
    <w:p w14:paraId="17DBC43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sz w:val="28"/>
          <w:szCs w:val="28"/>
          <w:lang w:val="en-US" w:eastAsia="zh-CN"/>
        </w:rPr>
        <w:t>1、业务数据一体化，构建医院内标准统一的数据基础库应统一患者主</w:t>
      </w:r>
      <w:r>
        <w:rPr>
          <w:rFonts w:hint="eastAsia" w:ascii="仿宋" w:hAnsi="仿宋" w:eastAsia="仿宋" w:cs="仿宋"/>
          <w:color w:val="000000"/>
          <w:sz w:val="28"/>
          <w:szCs w:val="28"/>
          <w:highlight w:val="none"/>
          <w:lang w:val="en-US" w:eastAsia="zh-CN"/>
        </w:rPr>
        <w:t>索引、统一机构科室、统一人员、统一资源、统一核心字典、统一服务，将门诊、住院等业务整合到一个抽象的服务体系中，通过数据融合技术将分散在各处的数据进行数据集中，打造以患者为核心的数据中心，建立流程、医嘱、诊断等多条主索引，作为所有医疗数据的中心线，实现数据同源。</w:t>
      </w:r>
    </w:p>
    <w:p w14:paraId="5AB87037">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业务中台化，建立医院信息化的业务底座建立统一的业务中台，支撑医院的核心通用业务，医院的所有业务基于业务中台开展，通过中台，实现上层应用的业务紧密连接，高度互通，规则统一，方便医院的业务扩展和变更。</w:t>
      </w:r>
    </w:p>
    <w:p w14:paraId="40235E30">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基于云原生技术，构建高可用服务面向医院的业务要求，利用云原生简单易扩展的优势，提供稳定可靠的应用服务，利用云原生特性，保障在应用快速迭代变化的同时，保持高度的可用性，支持多节点等特性。</w:t>
      </w:r>
    </w:p>
    <w:p w14:paraId="16D72E36">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方便维护升级，快速响应医院需求面向医院业务快速变化发展的要求，系统应能够满足医院信息系统能够快速方便地升级，减少因为升级给用户带来的不便。对于医院信息化的扩展，能够方便调整，快速响应变化。</w:t>
      </w:r>
    </w:p>
    <w:tbl>
      <w:tblPr>
        <w:tblStyle w:val="3"/>
        <w:tblpPr w:leftFromText="180" w:rightFromText="180" w:vertAnchor="text" w:horzAnchor="page" w:tblpX="1637" w:tblpY="516"/>
        <w:tblOverlap w:val="never"/>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360"/>
        <w:gridCol w:w="7965"/>
        <w:gridCol w:w="15"/>
      </w:tblGrid>
      <w:tr w14:paraId="2A52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9248" w:type="dxa"/>
            <w:gridSpan w:val="3"/>
            <w:tcBorders>
              <w:tl2br w:val="nil"/>
              <w:tr2bl w:val="nil"/>
            </w:tcBorders>
            <w:vAlign w:val="center"/>
          </w:tcPr>
          <w:p w14:paraId="66496CBB">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系统软件部分</w:t>
            </w:r>
          </w:p>
        </w:tc>
      </w:tr>
      <w:tr w14:paraId="675A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9248" w:type="dxa"/>
            <w:gridSpan w:val="3"/>
            <w:tcBorders>
              <w:tl2br w:val="nil"/>
              <w:tr2bl w:val="nil"/>
            </w:tcBorders>
            <w:vAlign w:val="center"/>
          </w:tcPr>
          <w:p w14:paraId="07687B4D">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一、总体要求</w:t>
            </w:r>
          </w:p>
        </w:tc>
      </w:tr>
      <w:tr w14:paraId="0779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CE11A4F">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color w:val="0000FF"/>
                <w:sz w:val="28"/>
                <w:szCs w:val="28"/>
              </w:rPr>
            </w:pPr>
            <w:r>
              <w:rPr>
                <w:rFonts w:hint="eastAsia" w:ascii="仿宋" w:hAnsi="仿宋" w:eastAsia="仿宋" w:cs="仿宋"/>
                <w:sz w:val="28"/>
                <w:szCs w:val="28"/>
              </w:rPr>
              <w:t>1</w:t>
            </w:r>
          </w:p>
        </w:tc>
        <w:tc>
          <w:tcPr>
            <w:tcW w:w="7965" w:type="dxa"/>
            <w:tcBorders>
              <w:tl2br w:val="nil"/>
              <w:tr2bl w:val="nil"/>
            </w:tcBorders>
          </w:tcPr>
          <w:p w14:paraId="147841FD">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系统支持多种接口协议对接，系统具有良好的扩展性。</w:t>
            </w:r>
          </w:p>
        </w:tc>
      </w:tr>
      <w:tr w14:paraId="7697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627BD27">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b/>
                <w:bCs/>
                <w:sz w:val="28"/>
                <w:szCs w:val="28"/>
              </w:rPr>
            </w:pPr>
            <w:r>
              <w:rPr>
                <w:rFonts w:hint="eastAsia" w:ascii="仿宋" w:hAnsi="仿宋" w:eastAsia="仿宋" w:cs="仿宋"/>
                <w:sz w:val="28"/>
                <w:szCs w:val="28"/>
              </w:rPr>
              <w:t>2</w:t>
            </w:r>
          </w:p>
        </w:tc>
        <w:tc>
          <w:tcPr>
            <w:tcW w:w="7965" w:type="dxa"/>
            <w:tcBorders>
              <w:tl2br w:val="nil"/>
              <w:tr2bl w:val="nil"/>
            </w:tcBorders>
          </w:tcPr>
          <w:p w14:paraId="25198CB2">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适配Windows/Linux</w:t>
            </w:r>
            <w:r>
              <w:rPr>
                <w:rFonts w:hint="eastAsia" w:ascii="仿宋" w:hAnsi="仿宋" w:eastAsia="仿宋" w:cs="仿宋"/>
                <w:sz w:val="28"/>
                <w:szCs w:val="28"/>
                <w:lang w:val="en-US" w:eastAsia="zh-CN"/>
              </w:rPr>
              <w:t>/其他国产</w:t>
            </w:r>
            <w:r>
              <w:rPr>
                <w:rFonts w:hint="eastAsia" w:ascii="仿宋" w:hAnsi="仿宋" w:eastAsia="仿宋" w:cs="仿宋"/>
                <w:sz w:val="28"/>
                <w:szCs w:val="28"/>
              </w:rPr>
              <w:t>操作系统。</w:t>
            </w:r>
          </w:p>
        </w:tc>
      </w:tr>
      <w:tr w14:paraId="3604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544DE1C">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7965" w:type="dxa"/>
            <w:tcBorders>
              <w:tl2br w:val="nil"/>
              <w:tr2bl w:val="nil"/>
            </w:tcBorders>
          </w:tcPr>
          <w:p w14:paraId="2A921015">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扫码设备兼容性：支持手持PDA、扫码枪、高拍仪等。</w:t>
            </w:r>
          </w:p>
        </w:tc>
      </w:tr>
      <w:tr w14:paraId="1212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3341A42">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7965" w:type="dxa"/>
            <w:tcBorders>
              <w:tl2br w:val="nil"/>
              <w:tr2bl w:val="nil"/>
            </w:tcBorders>
          </w:tcPr>
          <w:p w14:paraId="188D288B">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具备药品信息录入、扫码数据采集、异常预警（如重复扫码、无效码、发药错误、过期、近效期）、统计分析功能。</w:t>
            </w:r>
          </w:p>
        </w:tc>
      </w:tr>
      <w:tr w14:paraId="401D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24C9DFE">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7965" w:type="dxa"/>
            <w:tcBorders>
              <w:tl2br w:val="nil"/>
              <w:tr2bl w:val="nil"/>
            </w:tcBorders>
          </w:tcPr>
          <w:p w14:paraId="6685CFAE">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能够按角色（药师、护士、管理员）、按部门（药库、药房、静配）分配操作权限，支持审计日志追溯。</w:t>
            </w:r>
          </w:p>
        </w:tc>
      </w:tr>
      <w:tr w14:paraId="1CF7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ABA9019">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highlight w:val="none"/>
              </w:rPr>
              <w:t>★</w:t>
            </w:r>
            <w:r>
              <w:rPr>
                <w:rFonts w:hint="eastAsia" w:ascii="仿宋" w:hAnsi="仿宋" w:eastAsia="仿宋" w:cs="仿宋"/>
                <w:sz w:val="28"/>
                <w:szCs w:val="28"/>
              </w:rPr>
              <w:t>6</w:t>
            </w:r>
          </w:p>
        </w:tc>
        <w:tc>
          <w:tcPr>
            <w:tcW w:w="7965" w:type="dxa"/>
            <w:tcBorders>
              <w:tl2br w:val="nil"/>
              <w:tr2bl w:val="nil"/>
            </w:tcBorders>
          </w:tcPr>
          <w:p w14:paraId="075918F0">
            <w:pPr>
              <w:pStyle w:val="2"/>
              <w:keepNext/>
              <w:keepLines/>
              <w:pageBreakBefore w:val="0"/>
              <w:widowControl w:val="0"/>
              <w:kinsoku/>
              <w:wordWrap/>
              <w:overflowPunct/>
              <w:topLinePunct/>
              <w:autoSpaceDE/>
              <w:autoSpaceDN/>
              <w:bidi w:val="0"/>
              <w:adjustRightInd/>
              <w:snapToGrid/>
              <w:textAlignment w:val="auto"/>
              <w:rPr>
                <w:rFonts w:hint="default" w:eastAsia="仿宋"/>
                <w:sz w:val="28"/>
                <w:szCs w:val="28"/>
                <w:lang w:val="en-US" w:eastAsia="zh-CN"/>
              </w:rPr>
            </w:pPr>
            <w:r>
              <w:rPr>
                <w:rFonts w:hint="eastAsia" w:ascii="仿宋" w:hAnsi="仿宋" w:eastAsia="仿宋" w:cs="仿宋"/>
                <w:color w:val="auto"/>
                <w:sz w:val="28"/>
                <w:szCs w:val="28"/>
                <w:highlight w:val="none"/>
              </w:rPr>
              <w:t>配送企业</w:t>
            </w:r>
            <w:r>
              <w:rPr>
                <w:rFonts w:hint="eastAsia" w:ascii="仿宋" w:hAnsi="仿宋" w:eastAsia="仿宋" w:cs="仿宋"/>
                <w:color w:val="auto"/>
                <w:sz w:val="28"/>
                <w:szCs w:val="28"/>
                <w:highlight w:val="none"/>
                <w:lang w:val="en-US" w:eastAsia="zh-CN"/>
              </w:rPr>
              <w:t>药品的</w:t>
            </w:r>
            <w:r>
              <w:rPr>
                <w:rFonts w:hint="eastAsia" w:ascii="仿宋" w:hAnsi="仿宋" w:eastAsia="仿宋" w:cs="仿宋"/>
                <w:color w:val="auto"/>
                <w:sz w:val="28"/>
                <w:szCs w:val="28"/>
                <w:highlight w:val="none"/>
              </w:rPr>
              <w:t>追溯码信息</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同步至医院系统，方便医院追溯码的入库采集</w:t>
            </w:r>
          </w:p>
        </w:tc>
      </w:tr>
      <w:tr w14:paraId="37D6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9248" w:type="dxa"/>
            <w:gridSpan w:val="3"/>
            <w:tcBorders>
              <w:tl2br w:val="nil"/>
              <w:tr2bl w:val="nil"/>
            </w:tcBorders>
            <w:vAlign w:val="center"/>
          </w:tcPr>
          <w:p w14:paraId="0405D8BA">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二、技术参数</w:t>
            </w:r>
          </w:p>
        </w:tc>
      </w:tr>
      <w:tr w14:paraId="13F8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79E7EBC">
            <w:pPr>
              <w:keepNext/>
              <w:keepLines/>
              <w:pageBreakBefore w:val="0"/>
              <w:widowControl w:val="0"/>
              <w:kinsoku/>
              <w:wordWrap/>
              <w:overflowPunct/>
              <w:topLinePunct/>
              <w:autoSpaceDE/>
              <w:autoSpaceDN/>
              <w:bidi w:val="0"/>
              <w:adjustRightInd/>
              <w:snapToGrid/>
              <w:spacing w:line="560" w:lineRule="exact"/>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w:t>
            </w:r>
          </w:p>
        </w:tc>
        <w:tc>
          <w:tcPr>
            <w:tcW w:w="7965" w:type="dxa"/>
            <w:tcBorders>
              <w:tl2br w:val="nil"/>
              <w:tr2bl w:val="nil"/>
            </w:tcBorders>
            <w:vAlign w:val="center"/>
          </w:tcPr>
          <w:p w14:paraId="739AF26F">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28"/>
                <w:szCs w:val="28"/>
              </w:rPr>
            </w:pPr>
            <w:bookmarkStart w:id="0" w:name="_Toc193794677"/>
            <w:r>
              <w:rPr>
                <w:rFonts w:hint="eastAsia" w:ascii="仿宋" w:hAnsi="仿宋" w:eastAsia="仿宋" w:cs="仿宋"/>
                <w:b/>
                <w:bCs/>
                <w:sz w:val="28"/>
                <w:szCs w:val="28"/>
              </w:rPr>
              <w:t>药库追溯码管理</w:t>
            </w:r>
            <w:bookmarkEnd w:id="0"/>
          </w:p>
        </w:tc>
      </w:tr>
      <w:tr w14:paraId="7F0A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BDD3E64">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1.1</w:t>
            </w:r>
          </w:p>
        </w:tc>
        <w:tc>
          <w:tcPr>
            <w:tcW w:w="7965" w:type="dxa"/>
            <w:tcBorders>
              <w:tl2br w:val="nil"/>
              <w:tr2bl w:val="nil"/>
            </w:tcBorders>
            <w:vAlign w:val="center"/>
          </w:tcPr>
          <w:p w14:paraId="78B8D3C4">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基础信息维护功能</w:t>
            </w:r>
          </w:p>
        </w:tc>
      </w:tr>
      <w:tr w14:paraId="43EC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D7DD145">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★1.1.1</w:t>
            </w:r>
          </w:p>
        </w:tc>
        <w:tc>
          <w:tcPr>
            <w:tcW w:w="7965" w:type="dxa"/>
            <w:tcBorders>
              <w:tl2br w:val="nil"/>
              <w:tr2bl w:val="nil"/>
            </w:tcBorders>
            <w:vAlign w:val="center"/>
          </w:tcPr>
          <w:p w14:paraId="1F6307AE">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提供药品基础信息维护的界面，可以由药师自行维护基础数据，可以增加药品品种、删除药品品种、更新药品品种的基础数据，对已经维护数据可以进行数据管理查看等（响应文件提供案例或系统截图）</w:t>
            </w:r>
          </w:p>
        </w:tc>
      </w:tr>
      <w:tr w14:paraId="51C3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B84EE6B">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1.1.2</w:t>
            </w:r>
          </w:p>
        </w:tc>
        <w:tc>
          <w:tcPr>
            <w:tcW w:w="7965" w:type="dxa"/>
            <w:tcBorders>
              <w:tl2br w:val="nil"/>
              <w:tr2bl w:val="nil"/>
            </w:tcBorders>
            <w:vAlign w:val="center"/>
          </w:tcPr>
          <w:p w14:paraId="5FB903B6">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可对上传不成功追溯码有上传日志查询和再次提交到医院保两定接口功能，确保已采集的数据再次更改后提交给医保局实现数据的校对和续传。</w:t>
            </w:r>
          </w:p>
        </w:tc>
      </w:tr>
      <w:tr w14:paraId="209D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B3B024B">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1.2</w:t>
            </w:r>
          </w:p>
        </w:tc>
        <w:tc>
          <w:tcPr>
            <w:tcW w:w="7965" w:type="dxa"/>
            <w:tcBorders>
              <w:tl2br w:val="nil"/>
              <w:tr2bl w:val="nil"/>
            </w:tcBorders>
            <w:vAlign w:val="center"/>
          </w:tcPr>
          <w:p w14:paraId="154E62BE">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28"/>
                <w:szCs w:val="28"/>
              </w:rPr>
            </w:pPr>
            <w:bookmarkStart w:id="1" w:name="_Toc193794678"/>
            <w:r>
              <w:rPr>
                <w:rFonts w:hint="eastAsia" w:ascii="仿宋" w:hAnsi="仿宋" w:eastAsia="仿宋" w:cs="仿宋"/>
                <w:b/>
                <w:bCs/>
                <w:sz w:val="28"/>
                <w:szCs w:val="28"/>
              </w:rPr>
              <w:t>药库入库追溯码管理</w:t>
            </w:r>
            <w:bookmarkEnd w:id="1"/>
          </w:p>
        </w:tc>
      </w:tr>
      <w:tr w14:paraId="0F02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A43D817">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w:t>
            </w:r>
          </w:p>
        </w:tc>
        <w:tc>
          <w:tcPr>
            <w:tcW w:w="7965" w:type="dxa"/>
            <w:tcBorders>
              <w:tl2br w:val="nil"/>
              <w:tr2bl w:val="nil"/>
            </w:tcBorders>
            <w:vAlign w:val="center"/>
          </w:tcPr>
          <w:p w14:paraId="6C116133">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bookmarkStart w:id="2" w:name="_Toc193794679"/>
            <w:r>
              <w:rPr>
                <w:rFonts w:hint="eastAsia" w:ascii="仿宋" w:hAnsi="仿宋" w:eastAsia="仿宋" w:cs="仿宋"/>
                <w:b/>
                <w:bCs/>
                <w:sz w:val="28"/>
                <w:szCs w:val="28"/>
              </w:rPr>
              <w:t>追溯码采集</w:t>
            </w:r>
            <w:bookmarkEnd w:id="2"/>
          </w:p>
        </w:tc>
      </w:tr>
      <w:tr w14:paraId="5A94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722587D">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1.2.1.1</w:t>
            </w:r>
          </w:p>
        </w:tc>
        <w:tc>
          <w:tcPr>
            <w:tcW w:w="7965" w:type="dxa"/>
            <w:tcBorders>
              <w:tl2br w:val="nil"/>
              <w:tr2bl w:val="nil"/>
            </w:tcBorders>
            <w:vAlign w:val="center"/>
          </w:tcPr>
          <w:p w14:paraId="226DC680">
            <w:pPr>
              <w:keepNext/>
              <w:keepLines/>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系统应兼容多种采集方式，保障数据全面性，同时兼顾不同场景下的操作便利性，从源头把控药品来源，确保可追溯性，提高入库效率，为药品入库管理提供坚实数据基础。</w:t>
            </w:r>
          </w:p>
        </w:tc>
      </w:tr>
      <w:tr w14:paraId="1295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417" w:hRule="atLeast"/>
        </w:trPr>
        <w:tc>
          <w:tcPr>
            <w:tcW w:w="1283" w:type="dxa"/>
            <w:gridSpan w:val="2"/>
            <w:vMerge w:val="restart"/>
            <w:tcBorders>
              <w:tl2br w:val="nil"/>
              <w:tr2bl w:val="nil"/>
            </w:tcBorders>
            <w:vAlign w:val="center"/>
          </w:tcPr>
          <w:p w14:paraId="2B15A614">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1.2.1.2</w:t>
            </w:r>
          </w:p>
        </w:tc>
        <w:tc>
          <w:tcPr>
            <w:tcW w:w="7965" w:type="dxa"/>
            <w:tcBorders>
              <w:tl2br w:val="nil"/>
              <w:tr2bl w:val="nil"/>
            </w:tcBorders>
            <w:vAlign w:val="center"/>
          </w:tcPr>
          <w:p w14:paraId="0223061D">
            <w:pPr>
              <w:pStyle w:val="2"/>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bCs/>
                <w:color w:val="auto"/>
                <w:sz w:val="28"/>
                <w:szCs w:val="28"/>
                <w:highlight w:val="none"/>
                <w:lang w:val="en-US" w:eastAsia="zh-CN"/>
              </w:rPr>
              <w:t>1.可</w:t>
            </w:r>
            <w:r>
              <w:rPr>
                <w:rFonts w:hint="eastAsia" w:ascii="仿宋" w:hAnsi="仿宋" w:eastAsia="仿宋" w:cs="仿宋"/>
                <w:b/>
                <w:bCs/>
                <w:color w:val="auto"/>
                <w:sz w:val="28"/>
                <w:szCs w:val="28"/>
                <w:highlight w:val="none"/>
              </w:rPr>
              <w:t>实现扫描发票上的二维码，即可获取完整的药品追溯码信息。（提供所投产品案例或系统功能截图）</w:t>
            </w:r>
            <w:r>
              <w:rPr>
                <w:rFonts w:hint="eastAsia" w:ascii="仿宋" w:hAnsi="仿宋" w:eastAsia="仿宋" w:cs="仿宋"/>
                <w:b/>
                <w:bCs/>
                <w:color w:val="auto"/>
                <w:sz w:val="28"/>
                <w:szCs w:val="28"/>
                <w:highlight w:val="none"/>
                <w:lang w:eastAsia="zh-CN"/>
              </w:rPr>
              <w:t>，后期根据政策性文件与相关平台免费打通数据接口。</w:t>
            </w:r>
          </w:p>
        </w:tc>
      </w:tr>
      <w:tr w14:paraId="1AE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13" w:hRule="atLeast"/>
        </w:trPr>
        <w:tc>
          <w:tcPr>
            <w:tcW w:w="1283" w:type="dxa"/>
            <w:gridSpan w:val="2"/>
            <w:vMerge w:val="continue"/>
            <w:tcBorders>
              <w:tl2br w:val="nil"/>
              <w:tr2bl w:val="nil"/>
            </w:tcBorders>
            <w:vAlign w:val="center"/>
          </w:tcPr>
          <w:p w14:paraId="18D64885">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p>
        </w:tc>
        <w:tc>
          <w:tcPr>
            <w:tcW w:w="7965" w:type="dxa"/>
            <w:tcBorders>
              <w:tl2br w:val="nil"/>
              <w:tr2bl w:val="nil"/>
            </w:tcBorders>
            <w:vAlign w:val="center"/>
          </w:tcPr>
          <w:p w14:paraId="68238275">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2.自动将详细的入库信息精准推送至医院信息管理系统（HIS），药库药师不需要手工录入库单，完成药品自动入库。</w:t>
            </w:r>
          </w:p>
        </w:tc>
      </w:tr>
      <w:tr w14:paraId="2EE3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7B8D5A2">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1.2.1.3</w:t>
            </w:r>
          </w:p>
        </w:tc>
        <w:tc>
          <w:tcPr>
            <w:tcW w:w="7965" w:type="dxa"/>
            <w:tcBorders>
              <w:tl2br w:val="nil"/>
              <w:tr2bl w:val="nil"/>
            </w:tcBorders>
            <w:vAlign w:val="center"/>
          </w:tcPr>
          <w:p w14:paraId="5F8B3EFA">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系统应支持扫描药品外包装获取药品追溯码信息。</w:t>
            </w:r>
          </w:p>
        </w:tc>
      </w:tr>
      <w:tr w14:paraId="09E8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7D51E39">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1.2.1.4</w:t>
            </w:r>
          </w:p>
        </w:tc>
        <w:tc>
          <w:tcPr>
            <w:tcW w:w="7965" w:type="dxa"/>
            <w:tcBorders>
              <w:tl2br w:val="nil"/>
              <w:tr2bl w:val="nil"/>
            </w:tcBorders>
          </w:tcPr>
          <w:p w14:paraId="742C5116">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系统应支持手持PDA设备扫码一键快速入库。</w:t>
            </w:r>
          </w:p>
        </w:tc>
      </w:tr>
      <w:tr w14:paraId="24E1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DDFAC72">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1.2.1.5</w:t>
            </w:r>
          </w:p>
        </w:tc>
        <w:tc>
          <w:tcPr>
            <w:tcW w:w="7965" w:type="dxa"/>
            <w:tcBorders>
              <w:tl2br w:val="nil"/>
              <w:tr2bl w:val="nil"/>
            </w:tcBorders>
          </w:tcPr>
          <w:p w14:paraId="3BA3AA3A">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系统应支持PC端配合高拍仪进行采集操作。</w:t>
            </w:r>
          </w:p>
        </w:tc>
      </w:tr>
      <w:tr w14:paraId="506C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90E2437">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1.2.2</w:t>
            </w:r>
          </w:p>
        </w:tc>
        <w:tc>
          <w:tcPr>
            <w:tcW w:w="7965" w:type="dxa"/>
            <w:tcBorders>
              <w:tl2br w:val="nil"/>
              <w:tr2bl w:val="nil"/>
            </w:tcBorders>
          </w:tcPr>
          <w:p w14:paraId="4147151B">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bookmarkStart w:id="3" w:name="_Toc193794680"/>
            <w:r>
              <w:rPr>
                <w:rFonts w:hint="eastAsia" w:ascii="仿宋" w:hAnsi="仿宋" w:eastAsia="仿宋" w:cs="仿宋"/>
                <w:b/>
                <w:bCs/>
                <w:sz w:val="28"/>
                <w:szCs w:val="28"/>
              </w:rPr>
              <w:t>追溯码转换</w:t>
            </w:r>
            <w:bookmarkEnd w:id="3"/>
          </w:p>
        </w:tc>
      </w:tr>
      <w:tr w14:paraId="6BDE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FD54924">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1.2.2.1</w:t>
            </w:r>
          </w:p>
        </w:tc>
        <w:tc>
          <w:tcPr>
            <w:tcW w:w="7965" w:type="dxa"/>
            <w:tcBorders>
              <w:tl2br w:val="nil"/>
              <w:tr2bl w:val="nil"/>
            </w:tcBorders>
            <w:vAlign w:val="center"/>
          </w:tcPr>
          <w:p w14:paraId="41CEED02">
            <w:pPr>
              <w:keepNext/>
              <w:keepLines/>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lang w:val="zh-CN"/>
              </w:rPr>
            </w:pPr>
            <w:r>
              <w:rPr>
                <w:rFonts w:hint="eastAsia" w:ascii="仿宋" w:hAnsi="仿宋" w:eastAsia="仿宋" w:cs="仿宋"/>
                <w:sz w:val="28"/>
                <w:szCs w:val="28"/>
              </w:rPr>
              <w:t>系统应具备创新性功能，支持无需拆箱操作，仅需扫描大箱码、中包装码或单盒药品追溯码，即可迅速获取每一盒药品的追溯码信息。</w:t>
            </w:r>
          </w:p>
        </w:tc>
      </w:tr>
      <w:tr w14:paraId="05FA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FF0E51F">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1.2.2.2</w:t>
            </w:r>
          </w:p>
        </w:tc>
        <w:tc>
          <w:tcPr>
            <w:tcW w:w="7965" w:type="dxa"/>
            <w:tcBorders>
              <w:tl2br w:val="nil"/>
              <w:tr2bl w:val="nil"/>
            </w:tcBorders>
            <w:vAlign w:val="center"/>
          </w:tcPr>
          <w:p w14:paraId="096D8315">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该功能应极大地提升入库与管理效率，有效节省时间和人力成本，减少繁琐的拆箱流程，使药品入库更加便捷、高效。</w:t>
            </w:r>
          </w:p>
        </w:tc>
      </w:tr>
      <w:tr w14:paraId="4379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DEC5CC6">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1.2.3</w:t>
            </w:r>
          </w:p>
        </w:tc>
        <w:tc>
          <w:tcPr>
            <w:tcW w:w="7965" w:type="dxa"/>
            <w:tcBorders>
              <w:tl2br w:val="nil"/>
              <w:tr2bl w:val="nil"/>
            </w:tcBorders>
            <w:vAlign w:val="center"/>
          </w:tcPr>
          <w:p w14:paraId="06103BC9">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lang w:val="zh-CN"/>
              </w:rPr>
            </w:pPr>
            <w:bookmarkStart w:id="4" w:name="_Toc193794681"/>
            <w:r>
              <w:rPr>
                <w:rFonts w:hint="eastAsia" w:ascii="仿宋" w:hAnsi="仿宋" w:eastAsia="仿宋" w:cs="仿宋"/>
                <w:b/>
                <w:bCs/>
                <w:sz w:val="28"/>
                <w:szCs w:val="28"/>
              </w:rPr>
              <w:t>入库信息核验</w:t>
            </w:r>
            <w:bookmarkEnd w:id="4"/>
          </w:p>
        </w:tc>
      </w:tr>
      <w:tr w14:paraId="3914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CBAB185">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1.2.3.1</w:t>
            </w:r>
          </w:p>
        </w:tc>
        <w:tc>
          <w:tcPr>
            <w:tcW w:w="7965" w:type="dxa"/>
            <w:tcBorders>
              <w:tl2br w:val="nil"/>
              <w:tr2bl w:val="nil"/>
            </w:tcBorders>
            <w:vAlign w:val="center"/>
          </w:tcPr>
          <w:p w14:paraId="5B60ED19">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zh-CN"/>
              </w:rPr>
            </w:pPr>
            <w:r>
              <w:rPr>
                <w:rFonts w:hint="eastAsia" w:ascii="仿宋" w:hAnsi="仿宋" w:eastAsia="仿宋" w:cs="仿宋"/>
                <w:sz w:val="28"/>
                <w:szCs w:val="28"/>
              </w:rPr>
              <w:t>系统应配备智能化的追溯码匹配核对功能，能够自动将采集到的追溯码信息与入库单数据进行精准比对。</w:t>
            </w:r>
          </w:p>
        </w:tc>
      </w:tr>
      <w:tr w14:paraId="2420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568F6BF">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1.2.3.2</w:t>
            </w:r>
          </w:p>
        </w:tc>
        <w:tc>
          <w:tcPr>
            <w:tcW w:w="7965" w:type="dxa"/>
            <w:tcBorders>
              <w:tl2br w:val="nil"/>
              <w:tr2bl w:val="nil"/>
            </w:tcBorders>
            <w:vAlign w:val="center"/>
          </w:tcPr>
          <w:p w14:paraId="59123E76">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借助先进的智能算法，系统应可快速识别并自动标记出不一致项，确保数据的准确性与完整性，大幅提高核对效率，显著减轻人工核对的工作负担，有效提升药品入库管理的整体效能，为药品质量安全提供坚实保障。</w:t>
            </w:r>
          </w:p>
        </w:tc>
      </w:tr>
      <w:tr w14:paraId="7AA0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B0AB90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1.2.4</w:t>
            </w:r>
          </w:p>
        </w:tc>
        <w:tc>
          <w:tcPr>
            <w:tcW w:w="7965" w:type="dxa"/>
            <w:tcBorders>
              <w:tl2br w:val="nil"/>
              <w:tr2bl w:val="nil"/>
            </w:tcBorders>
            <w:vAlign w:val="center"/>
          </w:tcPr>
          <w:p w14:paraId="15783C2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lang w:val="zh-CN"/>
              </w:rPr>
            </w:pPr>
            <w:bookmarkStart w:id="5" w:name="_Toc193794682"/>
            <w:r>
              <w:rPr>
                <w:rFonts w:hint="eastAsia" w:ascii="仿宋" w:hAnsi="仿宋" w:eastAsia="仿宋" w:cs="仿宋"/>
                <w:b/>
                <w:bCs/>
                <w:sz w:val="28"/>
                <w:szCs w:val="28"/>
              </w:rPr>
              <w:t>智能预警提示</w:t>
            </w:r>
            <w:bookmarkEnd w:id="5"/>
          </w:p>
        </w:tc>
      </w:tr>
      <w:tr w14:paraId="074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34AB6F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1.2.4.1</w:t>
            </w:r>
          </w:p>
        </w:tc>
        <w:tc>
          <w:tcPr>
            <w:tcW w:w="7965" w:type="dxa"/>
            <w:tcBorders>
              <w:tl2br w:val="nil"/>
              <w:tr2bl w:val="nil"/>
            </w:tcBorders>
            <w:vAlign w:val="center"/>
          </w:tcPr>
          <w:p w14:paraId="0230EC4D">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系统应具备强大的智能预警功能，在药品入库</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销售</w:t>
            </w:r>
            <w:r>
              <w:rPr>
                <w:rFonts w:hint="eastAsia" w:ascii="仿宋" w:hAnsi="仿宋" w:eastAsia="仿宋" w:cs="仿宋"/>
                <w:sz w:val="28"/>
                <w:szCs w:val="28"/>
              </w:rPr>
              <w:t>环节实时监测药品的关键信息，如有效期、批准文号等。</w:t>
            </w:r>
          </w:p>
        </w:tc>
      </w:tr>
      <w:tr w14:paraId="04AE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5E26CC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1.2.4.2                                                                                                                                                                                                                                                                                                                                                                                                                                                                                                                                                                                                                                                          </w:t>
            </w:r>
          </w:p>
        </w:tc>
        <w:tc>
          <w:tcPr>
            <w:tcW w:w="7965" w:type="dxa"/>
            <w:tcBorders>
              <w:tl2br w:val="nil"/>
              <w:tr2bl w:val="nil"/>
            </w:tcBorders>
            <w:vAlign w:val="center"/>
          </w:tcPr>
          <w:p w14:paraId="1A73C01F">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系统应支持对过期药品进行预警提示，及时通知工作人员进行处理。</w:t>
            </w:r>
          </w:p>
        </w:tc>
      </w:tr>
      <w:tr w14:paraId="3437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F80496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1.2.4.3</w:t>
            </w:r>
          </w:p>
        </w:tc>
        <w:tc>
          <w:tcPr>
            <w:tcW w:w="7965" w:type="dxa"/>
            <w:tcBorders>
              <w:tl2br w:val="nil"/>
              <w:tr2bl w:val="nil"/>
            </w:tcBorders>
            <w:vAlign w:val="center"/>
          </w:tcPr>
          <w:p w14:paraId="62B3C4F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系统应支持对采购价格变化药品进行预警，及时通知工作人员进行处理。</w:t>
            </w:r>
          </w:p>
        </w:tc>
      </w:tr>
      <w:tr w14:paraId="79D0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D92349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1.2.5</w:t>
            </w:r>
          </w:p>
        </w:tc>
        <w:tc>
          <w:tcPr>
            <w:tcW w:w="7965" w:type="dxa"/>
            <w:tcBorders>
              <w:tl2br w:val="nil"/>
              <w:tr2bl w:val="nil"/>
            </w:tcBorders>
            <w:vAlign w:val="center"/>
          </w:tcPr>
          <w:p w14:paraId="593930B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bookmarkStart w:id="6" w:name="_Toc193794683"/>
            <w:r>
              <w:rPr>
                <w:rFonts w:hint="eastAsia" w:ascii="仿宋" w:hAnsi="仿宋" w:eastAsia="仿宋" w:cs="仿宋"/>
                <w:b/>
                <w:bCs/>
                <w:sz w:val="28"/>
                <w:szCs w:val="28"/>
              </w:rPr>
              <w:t>入库信息推送</w:t>
            </w:r>
            <w:bookmarkEnd w:id="6"/>
          </w:p>
        </w:tc>
      </w:tr>
      <w:tr w14:paraId="0AC7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8B8E5F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★1.2.5.1</w:t>
            </w:r>
          </w:p>
        </w:tc>
        <w:tc>
          <w:tcPr>
            <w:tcW w:w="7965" w:type="dxa"/>
            <w:tcBorders>
              <w:tl2br w:val="nil"/>
              <w:tr2bl w:val="nil"/>
            </w:tcBorders>
            <w:vAlign w:val="center"/>
          </w:tcPr>
          <w:p w14:paraId="1B27C61B">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药品完成入库流程后，系统应自动将详细的入库信息精准推送至医院信息管理系统（HIS），确保数据的实时更新与同步，实现 “一键入库”功能，药库药师不需要手工录入库单，完成药品自动入库。（提供系统功能截图证明材料）</w:t>
            </w:r>
          </w:p>
        </w:tc>
      </w:tr>
      <w:tr w14:paraId="7CA6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DD53DB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1.3</w:t>
            </w:r>
          </w:p>
        </w:tc>
        <w:tc>
          <w:tcPr>
            <w:tcW w:w="7965" w:type="dxa"/>
            <w:tcBorders>
              <w:tl2br w:val="nil"/>
              <w:tr2bl w:val="nil"/>
            </w:tcBorders>
            <w:vAlign w:val="center"/>
          </w:tcPr>
          <w:p w14:paraId="34C6A2B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bookmarkStart w:id="7" w:name="_Toc193794684"/>
            <w:r>
              <w:rPr>
                <w:rFonts w:hint="eastAsia" w:ascii="仿宋" w:hAnsi="仿宋" w:eastAsia="仿宋" w:cs="仿宋"/>
                <w:b/>
                <w:bCs/>
                <w:sz w:val="28"/>
                <w:szCs w:val="28"/>
              </w:rPr>
              <w:t>药库退货追溯码管理</w:t>
            </w:r>
            <w:bookmarkEnd w:id="7"/>
          </w:p>
        </w:tc>
      </w:tr>
      <w:tr w14:paraId="2CE8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6BE2EA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w:t>
            </w:r>
          </w:p>
        </w:tc>
        <w:tc>
          <w:tcPr>
            <w:tcW w:w="7965" w:type="dxa"/>
            <w:tcBorders>
              <w:tl2br w:val="nil"/>
              <w:tr2bl w:val="nil"/>
            </w:tcBorders>
            <w:vAlign w:val="center"/>
          </w:tcPr>
          <w:p w14:paraId="7325A81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rPr>
              <w:t>追溯码采集</w:t>
            </w:r>
          </w:p>
        </w:tc>
      </w:tr>
      <w:tr w14:paraId="115D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0E0413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1.3.1.1</w:t>
            </w:r>
          </w:p>
        </w:tc>
        <w:tc>
          <w:tcPr>
            <w:tcW w:w="7965" w:type="dxa"/>
            <w:tcBorders>
              <w:tl2br w:val="nil"/>
              <w:tr2bl w:val="nil"/>
            </w:tcBorders>
            <w:vAlign w:val="center"/>
          </w:tcPr>
          <w:p w14:paraId="7957642F">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系统应兼容多种采集方式，保障数据全面性，同时兼顾不同场景下的操作便利性，从源头把控药品来源，确保可追溯性，提高退货效率，为药品退货管理提供坚实数据基础。</w:t>
            </w:r>
          </w:p>
        </w:tc>
      </w:tr>
      <w:tr w14:paraId="3BF6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BBCFDE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1.3.1.2</w:t>
            </w:r>
          </w:p>
        </w:tc>
        <w:tc>
          <w:tcPr>
            <w:tcW w:w="7965" w:type="dxa"/>
            <w:tcBorders>
              <w:tl2br w:val="nil"/>
              <w:tr2bl w:val="nil"/>
            </w:tcBorders>
            <w:vAlign w:val="center"/>
          </w:tcPr>
          <w:p w14:paraId="5BF4D3F2">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系统应支持PDA端进行采集操作。</w:t>
            </w:r>
          </w:p>
        </w:tc>
      </w:tr>
      <w:tr w14:paraId="4A2F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F8A076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1.3.1.3</w:t>
            </w:r>
          </w:p>
        </w:tc>
        <w:tc>
          <w:tcPr>
            <w:tcW w:w="7965" w:type="dxa"/>
            <w:tcBorders>
              <w:tl2br w:val="nil"/>
              <w:tr2bl w:val="nil"/>
            </w:tcBorders>
            <w:vAlign w:val="center"/>
          </w:tcPr>
          <w:p w14:paraId="7E00F985">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系统应支持PC端配合高拍仪进行采集操作。</w:t>
            </w:r>
          </w:p>
        </w:tc>
      </w:tr>
      <w:tr w14:paraId="1F78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F1E08B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1.3.1.4</w:t>
            </w:r>
          </w:p>
        </w:tc>
        <w:tc>
          <w:tcPr>
            <w:tcW w:w="7965" w:type="dxa"/>
            <w:tcBorders>
              <w:tl2br w:val="nil"/>
              <w:tr2bl w:val="nil"/>
            </w:tcBorders>
            <w:vAlign w:val="center"/>
          </w:tcPr>
          <w:p w14:paraId="399DBC4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统应支持扫描药品外包装获取药品追溯码信息，仅需扫描大箱码、中包装码或单盒药品追溯码，即可迅速获取每一盒药品的追溯码信息。</w:t>
            </w:r>
          </w:p>
        </w:tc>
      </w:tr>
      <w:tr w14:paraId="4344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3D682A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1.3.1.5</w:t>
            </w:r>
          </w:p>
        </w:tc>
        <w:tc>
          <w:tcPr>
            <w:tcW w:w="7965" w:type="dxa"/>
            <w:tcBorders>
              <w:tl2br w:val="nil"/>
              <w:tr2bl w:val="nil"/>
            </w:tcBorders>
            <w:vAlign w:val="center"/>
          </w:tcPr>
          <w:p w14:paraId="1D45E8C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系统应支持直接扫描药品本身获取药品追溯码信息。</w:t>
            </w:r>
          </w:p>
        </w:tc>
      </w:tr>
      <w:tr w14:paraId="0E54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05B1BE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1.3.2</w:t>
            </w:r>
          </w:p>
        </w:tc>
        <w:tc>
          <w:tcPr>
            <w:tcW w:w="7965" w:type="dxa"/>
            <w:tcBorders>
              <w:tl2br w:val="nil"/>
              <w:tr2bl w:val="nil"/>
            </w:tcBorders>
            <w:vAlign w:val="center"/>
          </w:tcPr>
          <w:p w14:paraId="6403389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bookmarkStart w:id="8" w:name="_Toc193794686"/>
            <w:r>
              <w:rPr>
                <w:rFonts w:hint="eastAsia" w:ascii="仿宋" w:hAnsi="仿宋" w:eastAsia="仿宋" w:cs="仿宋"/>
                <w:b/>
                <w:bCs/>
                <w:sz w:val="28"/>
                <w:szCs w:val="28"/>
              </w:rPr>
              <w:t>退货信息推送</w:t>
            </w:r>
            <w:bookmarkEnd w:id="8"/>
          </w:p>
        </w:tc>
      </w:tr>
      <w:tr w14:paraId="6B15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B64972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1.3.2.1</w:t>
            </w:r>
          </w:p>
        </w:tc>
        <w:tc>
          <w:tcPr>
            <w:tcW w:w="7965" w:type="dxa"/>
            <w:tcBorders>
              <w:tl2br w:val="nil"/>
              <w:tr2bl w:val="nil"/>
            </w:tcBorders>
            <w:vAlign w:val="center"/>
          </w:tcPr>
          <w:p w14:paraId="391ED7F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系统应支持将退货的追溯码信息推送给HIS系统，核销医院追溯码信息库内对应药品追溯码，并同步到相关采购平台，确保退货药品信息可追溯。</w:t>
            </w:r>
          </w:p>
        </w:tc>
      </w:tr>
      <w:tr w14:paraId="262E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25C57B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2</w:t>
            </w:r>
          </w:p>
        </w:tc>
        <w:tc>
          <w:tcPr>
            <w:tcW w:w="7965" w:type="dxa"/>
            <w:tcBorders>
              <w:tl2br w:val="nil"/>
              <w:tr2bl w:val="nil"/>
            </w:tcBorders>
            <w:vAlign w:val="center"/>
          </w:tcPr>
          <w:p w14:paraId="5611C03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bookmarkStart w:id="9" w:name="_Toc193794687"/>
            <w:r>
              <w:rPr>
                <w:rFonts w:hint="eastAsia" w:ascii="仿宋" w:hAnsi="仿宋" w:eastAsia="仿宋" w:cs="仿宋"/>
                <w:b/>
                <w:bCs/>
                <w:sz w:val="28"/>
                <w:szCs w:val="28"/>
              </w:rPr>
              <w:t>门（急）诊药房追溯码管理</w:t>
            </w:r>
            <w:bookmarkEnd w:id="9"/>
          </w:p>
        </w:tc>
      </w:tr>
      <w:tr w14:paraId="386B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931322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2.1</w:t>
            </w:r>
          </w:p>
        </w:tc>
        <w:tc>
          <w:tcPr>
            <w:tcW w:w="7965" w:type="dxa"/>
            <w:tcBorders>
              <w:tl2br w:val="nil"/>
              <w:tr2bl w:val="nil"/>
            </w:tcBorders>
            <w:vAlign w:val="center"/>
          </w:tcPr>
          <w:p w14:paraId="4775841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拆零库管理</w:t>
            </w:r>
          </w:p>
        </w:tc>
      </w:tr>
      <w:tr w14:paraId="6A87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29" w:hRule="atLeast"/>
        </w:trPr>
        <w:tc>
          <w:tcPr>
            <w:tcW w:w="1283" w:type="dxa"/>
            <w:gridSpan w:val="2"/>
            <w:tcBorders>
              <w:tl2br w:val="nil"/>
              <w:tr2bl w:val="nil"/>
            </w:tcBorders>
            <w:vAlign w:val="center"/>
          </w:tcPr>
          <w:p w14:paraId="498410B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2.1.1</w:t>
            </w:r>
          </w:p>
        </w:tc>
        <w:tc>
          <w:tcPr>
            <w:tcW w:w="7965" w:type="dxa"/>
            <w:tcBorders>
              <w:tl2br w:val="nil"/>
              <w:tr2bl w:val="nil"/>
            </w:tcBorders>
            <w:vAlign w:val="center"/>
          </w:tcPr>
          <w:p w14:paraId="36454F09">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系统需构建完善的药品拆零库功能模块，能够高效且精准地将成盒药品的唯一追溯码拆解为每个最小使用单位药品的独立追溯码，从而实现药品流通过程中的全程精准追踪，确保药品质量与安全的可追溯性。</w:t>
            </w:r>
          </w:p>
        </w:tc>
      </w:tr>
      <w:tr w14:paraId="59A7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01F63D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2.1.2</w:t>
            </w:r>
          </w:p>
        </w:tc>
        <w:tc>
          <w:tcPr>
            <w:tcW w:w="7965" w:type="dxa"/>
            <w:tcBorders>
              <w:tl2br w:val="nil"/>
              <w:tr2bl w:val="nil"/>
            </w:tcBorders>
            <w:vAlign w:val="center"/>
          </w:tcPr>
          <w:p w14:paraId="7B52D212">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拆零库设置功能：系统应支持药师根据实际需求，按照药房及药品的具体维度灵活进行拆零库的设置操作，满足不同药房、不同药品种类的个性化拆零管理要求。</w:t>
            </w:r>
          </w:p>
        </w:tc>
      </w:tr>
      <w:tr w14:paraId="6195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16E379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2.1.3</w:t>
            </w:r>
          </w:p>
        </w:tc>
        <w:tc>
          <w:tcPr>
            <w:tcW w:w="7965" w:type="dxa"/>
            <w:tcBorders>
              <w:tl2br w:val="nil"/>
              <w:tr2bl w:val="nil"/>
            </w:tcBorders>
            <w:vAlign w:val="center"/>
          </w:tcPr>
          <w:p w14:paraId="66CB5311">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追溯码拆零操作：系统应具备便捷的追溯码拆零功能，药师能够轻松选择已经设置好的拆零库，快速启动追溯码拆零流程，将成盒药品的唯一追溯码准确拆解为拆零追溯码，确保每个最小使用单位药品均拥有独立且可追溯的标识，满足药品精细化管理与质量监管的需要。</w:t>
            </w:r>
          </w:p>
        </w:tc>
      </w:tr>
      <w:tr w14:paraId="5D1B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7DAB47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2.2</w:t>
            </w:r>
          </w:p>
        </w:tc>
        <w:tc>
          <w:tcPr>
            <w:tcW w:w="7965" w:type="dxa"/>
            <w:tcBorders>
              <w:tl2br w:val="nil"/>
              <w:tr2bl w:val="nil"/>
            </w:tcBorders>
            <w:vAlign w:val="center"/>
          </w:tcPr>
          <w:p w14:paraId="05078D1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多处方合并</w:t>
            </w:r>
          </w:p>
        </w:tc>
      </w:tr>
      <w:tr w14:paraId="6AA6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00013B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2.2.1</w:t>
            </w:r>
          </w:p>
        </w:tc>
        <w:tc>
          <w:tcPr>
            <w:tcW w:w="7965" w:type="dxa"/>
            <w:tcBorders>
              <w:tl2br w:val="nil"/>
              <w:tr2bl w:val="nil"/>
            </w:tcBorders>
            <w:vAlign w:val="center"/>
          </w:tcPr>
          <w:p w14:paraId="27E85C1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系统应具备多处方识别与合并发药功能，精准识别患者多个处方条码或标签头信息。</w:t>
            </w:r>
          </w:p>
        </w:tc>
      </w:tr>
      <w:tr w14:paraId="78F2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AA5DA5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2.2.2</w:t>
            </w:r>
          </w:p>
        </w:tc>
        <w:tc>
          <w:tcPr>
            <w:tcW w:w="7965" w:type="dxa"/>
            <w:tcBorders>
              <w:tl2br w:val="nil"/>
              <w:tr2bl w:val="nil"/>
            </w:tcBorders>
            <w:vAlign w:val="center"/>
          </w:tcPr>
          <w:p w14:paraId="136DC201">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系统应通过智能算法自动关联整合同一患者的多个处方，实现一次性合并发药，提高发药效率，减轻药师工作负担，避免发药遗漏或错误，确保发药准确性和安全性。</w:t>
            </w:r>
          </w:p>
        </w:tc>
      </w:tr>
      <w:tr w14:paraId="20B1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B71218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2.3</w:t>
            </w:r>
          </w:p>
        </w:tc>
        <w:tc>
          <w:tcPr>
            <w:tcW w:w="7965" w:type="dxa"/>
            <w:tcBorders>
              <w:tl2br w:val="nil"/>
              <w:tr2bl w:val="nil"/>
            </w:tcBorders>
            <w:vAlign w:val="center"/>
          </w:tcPr>
          <w:p w14:paraId="7B9D8ED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追溯码采集</w:t>
            </w:r>
          </w:p>
        </w:tc>
      </w:tr>
      <w:tr w14:paraId="59BC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BF6A66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2.3.1</w:t>
            </w:r>
          </w:p>
        </w:tc>
        <w:tc>
          <w:tcPr>
            <w:tcW w:w="7965" w:type="dxa"/>
            <w:tcBorders>
              <w:tl2br w:val="nil"/>
              <w:tr2bl w:val="nil"/>
            </w:tcBorders>
            <w:vAlign w:val="center"/>
          </w:tcPr>
          <w:p w14:paraId="001D4393">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系统应融合 PDA 设备与高拍仪，实现数据采集与处理的智能化，具备以下功能：过滤无效追溯码、整盒药品追溯码采集、拆零药品追溯码分配。</w:t>
            </w:r>
          </w:p>
        </w:tc>
      </w:tr>
      <w:tr w14:paraId="19F1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B2CE84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2.3.2</w:t>
            </w:r>
          </w:p>
        </w:tc>
        <w:tc>
          <w:tcPr>
            <w:tcW w:w="7965" w:type="dxa"/>
            <w:tcBorders>
              <w:tl2br w:val="nil"/>
              <w:tr2bl w:val="nil"/>
            </w:tcBorders>
            <w:vAlign w:val="center"/>
          </w:tcPr>
          <w:p w14:paraId="04B9D4F3">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过滤无效追溯码：系统应支持自动识别并过滤掉无追溯码的药品。</w:t>
            </w:r>
          </w:p>
        </w:tc>
      </w:tr>
      <w:tr w14:paraId="0B4A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C576CE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2.3.3</w:t>
            </w:r>
          </w:p>
        </w:tc>
        <w:tc>
          <w:tcPr>
            <w:tcW w:w="7965" w:type="dxa"/>
            <w:tcBorders>
              <w:tl2br w:val="nil"/>
              <w:tr2bl w:val="nil"/>
            </w:tcBorders>
            <w:vAlign w:val="center"/>
          </w:tcPr>
          <w:p w14:paraId="172A7CD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整盒药品追溯码采集：系统应支持准确抓取整盒未拆封药品的追溯码。</w:t>
            </w:r>
          </w:p>
        </w:tc>
      </w:tr>
      <w:tr w14:paraId="73E0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04FAF3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2.3.4</w:t>
            </w:r>
          </w:p>
        </w:tc>
        <w:tc>
          <w:tcPr>
            <w:tcW w:w="7965" w:type="dxa"/>
            <w:tcBorders>
              <w:tl2br w:val="nil"/>
              <w:tr2bl w:val="nil"/>
            </w:tcBorders>
            <w:vAlign w:val="center"/>
          </w:tcPr>
          <w:p w14:paraId="55D940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rPr>
            </w:pPr>
            <w:r>
              <w:rPr>
                <w:rFonts w:hint="eastAsia" w:ascii="仿宋" w:hAnsi="仿宋" w:eastAsia="仿宋" w:cs="仿宋"/>
                <w:sz w:val="28"/>
                <w:szCs w:val="28"/>
              </w:rPr>
              <w:t>拆零药品追溯码分配：系统应支持根据处方发药剂量，自动识别拆零药品剂量，并根据拆零库的追溯码信息，自动为拆零部分药品分配追溯码，确保每个最小单元药品的精准追踪，提升管理效率与安全性，保证供应链透明及质量可控。</w:t>
            </w:r>
          </w:p>
        </w:tc>
      </w:tr>
      <w:tr w14:paraId="6323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6F75B3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2.4</w:t>
            </w:r>
          </w:p>
        </w:tc>
        <w:tc>
          <w:tcPr>
            <w:tcW w:w="7965" w:type="dxa"/>
            <w:tcBorders>
              <w:tl2br w:val="nil"/>
              <w:tr2bl w:val="nil"/>
            </w:tcBorders>
            <w:vAlign w:val="center"/>
          </w:tcPr>
          <w:p w14:paraId="749C3AD0">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智能预警提醒</w:t>
            </w:r>
          </w:p>
        </w:tc>
      </w:tr>
      <w:tr w14:paraId="5BC1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75B451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2.4.1</w:t>
            </w:r>
          </w:p>
        </w:tc>
        <w:tc>
          <w:tcPr>
            <w:tcW w:w="7965" w:type="dxa"/>
            <w:tcBorders>
              <w:tl2br w:val="nil"/>
              <w:tr2bl w:val="nil"/>
            </w:tcBorders>
            <w:vAlign w:val="center"/>
          </w:tcPr>
          <w:p w14:paraId="5CD60D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系统需具备全面且高效的药品安全性提醒与智能预警功能，以保障药品管理的安全性和可靠性，确保患者用药安全。</w:t>
            </w:r>
          </w:p>
        </w:tc>
      </w:tr>
      <w:tr w14:paraId="6484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C1270D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2.4.2</w:t>
            </w:r>
          </w:p>
        </w:tc>
        <w:tc>
          <w:tcPr>
            <w:tcW w:w="7965" w:type="dxa"/>
            <w:tcBorders>
              <w:tl2br w:val="nil"/>
              <w:tr2bl w:val="nil"/>
            </w:tcBorders>
            <w:vAlign w:val="center"/>
          </w:tcPr>
          <w:p w14:paraId="4A9779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当遇到过期药品的时候，系统应支持在药品追溯码扫码核发时提醒药品已过期，页面弹窗警示内容，并禁止核发。</w:t>
            </w:r>
          </w:p>
        </w:tc>
      </w:tr>
      <w:tr w14:paraId="3336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E14850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2.4.3</w:t>
            </w:r>
          </w:p>
        </w:tc>
        <w:tc>
          <w:tcPr>
            <w:tcW w:w="7965" w:type="dxa"/>
            <w:tcBorders>
              <w:tl2br w:val="nil"/>
              <w:tr2bl w:val="nil"/>
            </w:tcBorders>
            <w:vAlign w:val="center"/>
          </w:tcPr>
          <w:p w14:paraId="7BE629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系统应支持能在多拿药、少拿药、错拿药、条码异常、追溯码异常等场景下，弹窗预警内容，提示配方错误，并禁止核发操作。</w:t>
            </w:r>
          </w:p>
        </w:tc>
      </w:tr>
      <w:tr w14:paraId="775C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CCA657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2.4.4</w:t>
            </w:r>
          </w:p>
        </w:tc>
        <w:tc>
          <w:tcPr>
            <w:tcW w:w="7965" w:type="dxa"/>
            <w:tcBorders>
              <w:tl2br w:val="nil"/>
              <w:tr2bl w:val="nil"/>
            </w:tcBorders>
            <w:vAlign w:val="center"/>
          </w:tcPr>
          <w:p w14:paraId="2D0459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系统供应支持不同患者条码同时进行扫码核发时，系统应提示条码错误预警，并禁止本次核发操作。</w:t>
            </w:r>
          </w:p>
        </w:tc>
      </w:tr>
      <w:tr w14:paraId="75DF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E817F5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2.5</w:t>
            </w:r>
          </w:p>
        </w:tc>
        <w:tc>
          <w:tcPr>
            <w:tcW w:w="7965" w:type="dxa"/>
            <w:tcBorders>
              <w:tl2br w:val="nil"/>
              <w:tr2bl w:val="nil"/>
            </w:tcBorders>
            <w:vAlign w:val="center"/>
          </w:tcPr>
          <w:p w14:paraId="7209FE0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一键推送</w:t>
            </w:r>
          </w:p>
        </w:tc>
      </w:tr>
      <w:tr w14:paraId="51A1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B898BA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2.5.1</w:t>
            </w:r>
          </w:p>
        </w:tc>
        <w:tc>
          <w:tcPr>
            <w:tcW w:w="7965" w:type="dxa"/>
            <w:tcBorders>
              <w:tl2br w:val="nil"/>
              <w:tr2bl w:val="nil"/>
            </w:tcBorders>
            <w:vAlign w:val="center"/>
          </w:tcPr>
          <w:p w14:paraId="7A25F5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完成药品追溯码信息核验后，系统应自动将发药信息推送至医院信息管理系统（HIS），实现信息的实时同步，确保能够及时更新库存记录，提高药品发放流程的效率和准确性，确保药品管理的规范化和透明度，提升医院整体的运营效率和服务质量。</w:t>
            </w:r>
          </w:p>
        </w:tc>
      </w:tr>
      <w:tr w14:paraId="1BE6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0B4B9A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2.5.2</w:t>
            </w:r>
          </w:p>
        </w:tc>
        <w:tc>
          <w:tcPr>
            <w:tcW w:w="7965" w:type="dxa"/>
            <w:tcBorders>
              <w:tl2br w:val="nil"/>
              <w:tr2bl w:val="nil"/>
            </w:tcBorders>
            <w:vAlign w:val="center"/>
          </w:tcPr>
          <w:p w14:paraId="213D274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系统应支持将发药的基本信息（药品名称、数量等）推送给HIS系统。</w:t>
            </w:r>
          </w:p>
        </w:tc>
      </w:tr>
      <w:tr w14:paraId="0B43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862E59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2.5.3</w:t>
            </w:r>
          </w:p>
        </w:tc>
        <w:tc>
          <w:tcPr>
            <w:tcW w:w="7965" w:type="dxa"/>
            <w:tcBorders>
              <w:tl2br w:val="nil"/>
              <w:tr2bl w:val="nil"/>
            </w:tcBorders>
            <w:vAlign w:val="center"/>
          </w:tcPr>
          <w:p w14:paraId="70B6CA4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系统应支持将发药的追溯码信息推送给HIS系统。</w:t>
            </w:r>
          </w:p>
        </w:tc>
      </w:tr>
      <w:tr w14:paraId="3A93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95F856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rPr>
              <w:t>3</w:t>
            </w:r>
          </w:p>
        </w:tc>
        <w:tc>
          <w:tcPr>
            <w:tcW w:w="7965" w:type="dxa"/>
            <w:tcBorders>
              <w:tl2br w:val="nil"/>
              <w:tr2bl w:val="nil"/>
            </w:tcBorders>
            <w:vAlign w:val="center"/>
          </w:tcPr>
          <w:p w14:paraId="2A3E442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住院药房追溯码管理</w:t>
            </w:r>
          </w:p>
        </w:tc>
      </w:tr>
      <w:tr w14:paraId="2DF3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C0E615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3.1</w:t>
            </w:r>
          </w:p>
        </w:tc>
        <w:tc>
          <w:tcPr>
            <w:tcW w:w="7965" w:type="dxa"/>
            <w:tcBorders>
              <w:tl2br w:val="nil"/>
              <w:tr2bl w:val="nil"/>
            </w:tcBorders>
            <w:vAlign w:val="center"/>
          </w:tcPr>
          <w:p w14:paraId="3D65CCD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bookmarkStart w:id="10" w:name="_Toc193794689"/>
            <w:r>
              <w:rPr>
                <w:rFonts w:hint="eastAsia" w:ascii="仿宋" w:hAnsi="仿宋" w:eastAsia="仿宋" w:cs="仿宋"/>
                <w:b/>
                <w:bCs/>
                <w:sz w:val="28"/>
                <w:szCs w:val="28"/>
              </w:rPr>
              <w:t>拆零库管理</w:t>
            </w:r>
            <w:bookmarkEnd w:id="10"/>
          </w:p>
        </w:tc>
      </w:tr>
      <w:tr w14:paraId="77C6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9E4397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3.1.1</w:t>
            </w:r>
          </w:p>
        </w:tc>
        <w:tc>
          <w:tcPr>
            <w:tcW w:w="7965" w:type="dxa"/>
            <w:tcBorders>
              <w:tl2br w:val="nil"/>
              <w:tr2bl w:val="nil"/>
            </w:tcBorders>
            <w:vAlign w:val="center"/>
          </w:tcPr>
          <w:p w14:paraId="2D3C430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拆零库追溯码管理同门急诊药房追溯码管理</w:t>
            </w:r>
          </w:p>
        </w:tc>
      </w:tr>
      <w:tr w14:paraId="64B8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386559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3.2</w:t>
            </w:r>
          </w:p>
        </w:tc>
        <w:tc>
          <w:tcPr>
            <w:tcW w:w="7965" w:type="dxa"/>
            <w:tcBorders>
              <w:tl2br w:val="nil"/>
              <w:tr2bl w:val="nil"/>
            </w:tcBorders>
            <w:vAlign w:val="center"/>
          </w:tcPr>
          <w:p w14:paraId="488FB91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bookmarkStart w:id="11" w:name="_Toc193794691"/>
            <w:r>
              <w:rPr>
                <w:rFonts w:hint="eastAsia" w:ascii="仿宋" w:hAnsi="仿宋" w:eastAsia="仿宋" w:cs="仿宋"/>
                <w:b/>
                <w:bCs/>
                <w:sz w:val="28"/>
                <w:szCs w:val="28"/>
              </w:rPr>
              <w:t>追溯码采集</w:t>
            </w:r>
            <w:bookmarkEnd w:id="11"/>
          </w:p>
        </w:tc>
      </w:tr>
      <w:tr w14:paraId="595D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39FB63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3.2.1</w:t>
            </w:r>
          </w:p>
        </w:tc>
        <w:tc>
          <w:tcPr>
            <w:tcW w:w="7965" w:type="dxa"/>
            <w:tcBorders>
              <w:tl2br w:val="nil"/>
              <w:tr2bl w:val="nil"/>
            </w:tcBorders>
            <w:vAlign w:val="center"/>
          </w:tcPr>
          <w:p w14:paraId="2B2FB841">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追溯码采集同门急诊药房追溯码管理。</w:t>
            </w:r>
          </w:p>
        </w:tc>
      </w:tr>
      <w:tr w14:paraId="0A57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A2B8B50">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3.2.2</w:t>
            </w:r>
          </w:p>
        </w:tc>
        <w:tc>
          <w:tcPr>
            <w:tcW w:w="7965" w:type="dxa"/>
            <w:tcBorders>
              <w:tl2br w:val="nil"/>
              <w:tr2bl w:val="nil"/>
            </w:tcBorders>
            <w:vAlign w:val="center"/>
          </w:tcPr>
          <w:p w14:paraId="592DF30B">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有“先采集后上传”功能，确保上传至医保平台的结算明细与销售明细紧密关联，数据准确无误，有效支持医保结算业务的需求。</w:t>
            </w:r>
          </w:p>
        </w:tc>
      </w:tr>
      <w:tr w14:paraId="4DF6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E8C593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rPr>
              <w:t>3.3</w:t>
            </w:r>
          </w:p>
        </w:tc>
        <w:tc>
          <w:tcPr>
            <w:tcW w:w="7965" w:type="dxa"/>
            <w:tcBorders>
              <w:tl2br w:val="nil"/>
              <w:tr2bl w:val="nil"/>
            </w:tcBorders>
            <w:vAlign w:val="center"/>
          </w:tcPr>
          <w:p w14:paraId="41E95B4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rPr>
              <w:t>智能预警提醒</w:t>
            </w:r>
          </w:p>
        </w:tc>
      </w:tr>
      <w:tr w14:paraId="1AC1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76AE6C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3.3.1</w:t>
            </w:r>
          </w:p>
        </w:tc>
        <w:tc>
          <w:tcPr>
            <w:tcW w:w="7965" w:type="dxa"/>
            <w:tcBorders>
              <w:tl2br w:val="nil"/>
              <w:tr2bl w:val="nil"/>
            </w:tcBorders>
            <w:vAlign w:val="center"/>
          </w:tcPr>
          <w:p w14:paraId="0A8A5C0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智能预警提醒同门急诊药房追溯码管理。</w:t>
            </w:r>
          </w:p>
        </w:tc>
      </w:tr>
      <w:tr w14:paraId="05DB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8815E2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3.4</w:t>
            </w:r>
          </w:p>
        </w:tc>
        <w:tc>
          <w:tcPr>
            <w:tcW w:w="7965" w:type="dxa"/>
            <w:tcBorders>
              <w:tl2br w:val="nil"/>
              <w:tr2bl w:val="nil"/>
            </w:tcBorders>
            <w:vAlign w:val="center"/>
          </w:tcPr>
          <w:p w14:paraId="1A2DB8E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bookmarkStart w:id="12" w:name="_Toc193794694"/>
            <w:r>
              <w:rPr>
                <w:rFonts w:hint="eastAsia" w:ascii="仿宋" w:hAnsi="仿宋" w:eastAsia="仿宋" w:cs="仿宋"/>
                <w:b/>
                <w:bCs/>
                <w:sz w:val="28"/>
                <w:szCs w:val="28"/>
              </w:rPr>
              <w:t>一键推送</w:t>
            </w:r>
            <w:bookmarkEnd w:id="12"/>
          </w:p>
        </w:tc>
      </w:tr>
      <w:tr w14:paraId="590B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795198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3.4.1</w:t>
            </w:r>
          </w:p>
        </w:tc>
        <w:tc>
          <w:tcPr>
            <w:tcW w:w="7965" w:type="dxa"/>
            <w:tcBorders>
              <w:tl2br w:val="nil"/>
              <w:tr2bl w:val="nil"/>
            </w:tcBorders>
            <w:vAlign w:val="center"/>
          </w:tcPr>
          <w:p w14:paraId="6982F65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0000FF"/>
                <w:sz w:val="28"/>
                <w:szCs w:val="28"/>
              </w:rPr>
            </w:pPr>
            <w:r>
              <w:rPr>
                <w:rFonts w:hint="eastAsia" w:ascii="仿宋" w:hAnsi="仿宋" w:eastAsia="仿宋" w:cs="仿宋"/>
                <w:sz w:val="28"/>
                <w:szCs w:val="28"/>
              </w:rPr>
              <w:t>一键推送同门急诊药房追溯码管理。</w:t>
            </w:r>
          </w:p>
        </w:tc>
      </w:tr>
      <w:tr w14:paraId="4E4C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6A023A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3.5</w:t>
            </w:r>
          </w:p>
        </w:tc>
        <w:tc>
          <w:tcPr>
            <w:tcW w:w="7965" w:type="dxa"/>
            <w:tcBorders>
              <w:tl2br w:val="nil"/>
              <w:tr2bl w:val="nil"/>
            </w:tcBorders>
            <w:vAlign w:val="center"/>
          </w:tcPr>
          <w:p w14:paraId="744B701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bookmarkStart w:id="13" w:name="_Toc193794709"/>
            <w:r>
              <w:rPr>
                <w:rFonts w:hint="eastAsia" w:ascii="仿宋" w:hAnsi="仿宋" w:eastAsia="仿宋" w:cs="仿宋"/>
                <w:b/>
                <w:bCs/>
                <w:sz w:val="28"/>
                <w:szCs w:val="28"/>
              </w:rPr>
              <w:t>出院带药追溯码管理</w:t>
            </w:r>
            <w:bookmarkEnd w:id="13"/>
          </w:p>
        </w:tc>
      </w:tr>
      <w:tr w14:paraId="3549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5B208A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3.5.1</w:t>
            </w:r>
          </w:p>
        </w:tc>
        <w:tc>
          <w:tcPr>
            <w:tcW w:w="7965" w:type="dxa"/>
            <w:tcBorders>
              <w:tl2br w:val="nil"/>
              <w:tr2bl w:val="nil"/>
            </w:tcBorders>
            <w:vAlign w:val="center"/>
          </w:tcPr>
          <w:p w14:paraId="1D26B74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系统能够对患者出院带药进行追溯码有效管理。</w:t>
            </w:r>
          </w:p>
        </w:tc>
      </w:tr>
      <w:tr w14:paraId="4F3E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B8DCB7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3.5.2</w:t>
            </w:r>
          </w:p>
        </w:tc>
        <w:tc>
          <w:tcPr>
            <w:tcW w:w="7965" w:type="dxa"/>
            <w:tcBorders>
              <w:tl2br w:val="nil"/>
              <w:tr2bl w:val="nil"/>
            </w:tcBorders>
            <w:vAlign w:val="center"/>
          </w:tcPr>
          <w:p w14:paraId="6755C25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bookmarkStart w:id="14" w:name="_Toc193794710"/>
            <w:r>
              <w:rPr>
                <w:rFonts w:hint="eastAsia" w:ascii="仿宋" w:hAnsi="仿宋" w:eastAsia="仿宋" w:cs="仿宋"/>
                <w:sz w:val="28"/>
                <w:szCs w:val="28"/>
              </w:rPr>
              <w:t>出院带药的追溯码采集</w:t>
            </w:r>
            <w:bookmarkEnd w:id="14"/>
            <w:r>
              <w:rPr>
                <w:rFonts w:hint="eastAsia" w:ascii="仿宋" w:hAnsi="仿宋" w:eastAsia="仿宋" w:cs="仿宋"/>
                <w:sz w:val="28"/>
                <w:szCs w:val="28"/>
              </w:rPr>
              <w:t>、发药信息核验、智能预警提示</w:t>
            </w:r>
            <w:bookmarkStart w:id="15" w:name="_Toc193794712"/>
            <w:r>
              <w:rPr>
                <w:rFonts w:hint="eastAsia" w:ascii="仿宋" w:hAnsi="仿宋" w:eastAsia="仿宋" w:cs="仿宋"/>
                <w:sz w:val="28"/>
                <w:szCs w:val="28"/>
              </w:rPr>
              <w:t>、一键推送</w:t>
            </w:r>
            <w:bookmarkEnd w:id="15"/>
            <w:r>
              <w:rPr>
                <w:rFonts w:hint="eastAsia" w:ascii="仿宋" w:hAnsi="仿宋" w:eastAsia="仿宋" w:cs="仿宋"/>
                <w:sz w:val="28"/>
                <w:szCs w:val="28"/>
              </w:rPr>
              <w:t>等功能需求同药库入库追溯码管理系统。</w:t>
            </w:r>
          </w:p>
        </w:tc>
      </w:tr>
      <w:tr w14:paraId="1A9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7664F6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w:t>
            </w:r>
          </w:p>
        </w:tc>
        <w:tc>
          <w:tcPr>
            <w:tcW w:w="7965" w:type="dxa"/>
            <w:tcBorders>
              <w:tl2br w:val="nil"/>
              <w:tr2bl w:val="nil"/>
            </w:tcBorders>
            <w:vAlign w:val="center"/>
          </w:tcPr>
          <w:p w14:paraId="0E657BB3">
            <w:pPr>
              <w:keepNext w:val="0"/>
              <w:keepLines w:val="0"/>
              <w:pageBreakBefore w:val="0"/>
              <w:widowControl w:val="0"/>
              <w:kinsoku/>
              <w:wordWrap/>
              <w:overflowPunct/>
              <w:topLinePunct w:val="0"/>
              <w:autoSpaceDE/>
              <w:autoSpaceDN/>
              <w:bidi w:val="0"/>
              <w:adjustRightInd/>
              <w:spacing w:line="560" w:lineRule="exact"/>
              <w:textAlignment w:val="auto"/>
              <w:rPr>
                <w:rFonts w:hint="default" w:eastAsia="仿宋"/>
                <w:sz w:val="28"/>
                <w:szCs w:val="28"/>
                <w:lang w:val="en-US" w:eastAsia="zh-CN"/>
              </w:rPr>
            </w:pPr>
            <w:bookmarkStart w:id="16" w:name="_Toc193794731"/>
            <w:r>
              <w:rPr>
                <w:rFonts w:hint="eastAsia" w:ascii="仿宋" w:hAnsi="仿宋" w:eastAsia="仿宋" w:cs="仿宋"/>
                <w:b/>
                <w:bCs/>
                <w:sz w:val="28"/>
                <w:szCs w:val="28"/>
                <w:lang w:eastAsia="zh-CN"/>
              </w:rPr>
              <w:t>二</w:t>
            </w:r>
            <w:r>
              <w:rPr>
                <w:rFonts w:hint="eastAsia" w:ascii="仿宋" w:hAnsi="仿宋" w:eastAsia="仿宋" w:cs="仿宋"/>
                <w:b/>
                <w:bCs/>
                <w:sz w:val="28"/>
                <w:szCs w:val="28"/>
              </w:rPr>
              <w:t>级库追溯码管理</w:t>
            </w:r>
            <w:bookmarkEnd w:id="16"/>
          </w:p>
        </w:tc>
      </w:tr>
      <w:tr w14:paraId="376F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3734B7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w:t>
            </w:r>
          </w:p>
        </w:tc>
        <w:tc>
          <w:tcPr>
            <w:tcW w:w="7965" w:type="dxa"/>
            <w:tcBorders>
              <w:tl2br w:val="nil"/>
              <w:tr2bl w:val="nil"/>
            </w:tcBorders>
            <w:vAlign w:val="center"/>
          </w:tcPr>
          <w:p w14:paraId="16213B5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bookmarkStart w:id="17" w:name="_Toc193794732"/>
            <w:r>
              <w:rPr>
                <w:rFonts w:hint="eastAsia" w:ascii="仿宋" w:hAnsi="仿宋" w:eastAsia="仿宋" w:cs="仿宋"/>
                <w:sz w:val="28"/>
                <w:szCs w:val="28"/>
              </w:rPr>
              <w:t>拆零库设置</w:t>
            </w:r>
            <w:bookmarkEnd w:id="17"/>
          </w:p>
        </w:tc>
      </w:tr>
      <w:tr w14:paraId="449C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D7A827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.1.1</w:t>
            </w:r>
          </w:p>
        </w:tc>
        <w:tc>
          <w:tcPr>
            <w:tcW w:w="7965" w:type="dxa"/>
            <w:tcBorders>
              <w:tl2br w:val="nil"/>
              <w:tr2bl w:val="nil"/>
            </w:tcBorders>
            <w:vAlign w:val="center"/>
          </w:tcPr>
          <w:p w14:paraId="4651C81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系统需构建完善的药品拆零库功能模块，能够高效且精准地将成盒药品的唯一追溯码拆解为每个最小使用单位药品的独立追溯码，从而实现药品流通过程中的全程精准追踪，确保药品质量与安全的可追溯性。</w:t>
            </w:r>
          </w:p>
        </w:tc>
      </w:tr>
      <w:tr w14:paraId="4CA6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463323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.1.2</w:t>
            </w:r>
          </w:p>
        </w:tc>
        <w:tc>
          <w:tcPr>
            <w:tcW w:w="7965" w:type="dxa"/>
            <w:tcBorders>
              <w:tl2br w:val="nil"/>
              <w:tr2bl w:val="nil"/>
            </w:tcBorders>
            <w:vAlign w:val="center"/>
          </w:tcPr>
          <w:p w14:paraId="1DA700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拆零库设置功能：系统应支持药师根据实际需求，按照药房及药品的具体维度灵活进行拆零库的设置操作，满足不同药房、不同药品种类的个性化拆零管理要求。</w:t>
            </w:r>
          </w:p>
        </w:tc>
      </w:tr>
      <w:tr w14:paraId="33AD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308A2A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w:t>
            </w:r>
          </w:p>
        </w:tc>
        <w:tc>
          <w:tcPr>
            <w:tcW w:w="7965" w:type="dxa"/>
            <w:tcBorders>
              <w:tl2br w:val="nil"/>
              <w:tr2bl w:val="nil"/>
            </w:tcBorders>
            <w:vAlign w:val="center"/>
          </w:tcPr>
          <w:p w14:paraId="1A9C0FE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bookmarkStart w:id="18" w:name="_Toc193794733"/>
            <w:r>
              <w:rPr>
                <w:rFonts w:hint="eastAsia" w:ascii="仿宋" w:hAnsi="仿宋" w:eastAsia="仿宋" w:cs="仿宋"/>
                <w:sz w:val="28"/>
                <w:szCs w:val="28"/>
              </w:rPr>
              <w:t>拆零库追溯码采集</w:t>
            </w:r>
            <w:bookmarkEnd w:id="18"/>
          </w:p>
        </w:tc>
      </w:tr>
      <w:tr w14:paraId="7344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387800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.2.1</w:t>
            </w:r>
          </w:p>
        </w:tc>
        <w:tc>
          <w:tcPr>
            <w:tcW w:w="7965" w:type="dxa"/>
            <w:tcBorders>
              <w:tl2br w:val="nil"/>
              <w:tr2bl w:val="nil"/>
            </w:tcBorders>
            <w:vAlign w:val="center"/>
          </w:tcPr>
          <w:p w14:paraId="28DB94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bookmarkStart w:id="19" w:name="_Toc193794734"/>
            <w:r>
              <w:rPr>
                <w:rFonts w:hint="eastAsia" w:ascii="仿宋" w:hAnsi="仿宋" w:eastAsia="仿宋" w:cs="仿宋"/>
                <w:sz w:val="28"/>
                <w:szCs w:val="28"/>
              </w:rPr>
              <w:t>药房出库前追溯码采集</w:t>
            </w:r>
            <w:bookmarkEnd w:id="19"/>
          </w:p>
        </w:tc>
      </w:tr>
      <w:tr w14:paraId="2BF7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6DC27E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.2.1.1</w:t>
            </w:r>
          </w:p>
        </w:tc>
        <w:tc>
          <w:tcPr>
            <w:tcW w:w="7965" w:type="dxa"/>
            <w:tcBorders>
              <w:tl2br w:val="nil"/>
              <w:tr2bl w:val="nil"/>
            </w:tcBorders>
            <w:vAlign w:val="center"/>
          </w:tcPr>
          <w:p w14:paraId="54B7C5F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系统需支持在药房向科室配送药品之前，药师使用PDA或高拍仪扫描药品包装上的追溯码，自动读取并存储信息。</w:t>
            </w:r>
          </w:p>
        </w:tc>
      </w:tr>
      <w:tr w14:paraId="2497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A85A7F0">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lang w:eastAsia="zh-CN"/>
              </w:rPr>
            </w:pPr>
            <w:r>
              <w:rPr>
                <w:rFonts w:hint="eastAsia" w:ascii="仿宋" w:hAnsi="仿宋" w:eastAsia="仿宋" w:cs="仿宋"/>
                <w:sz w:val="28"/>
                <w:szCs w:val="28"/>
                <w:lang w:val="en-US" w:eastAsia="zh-CN"/>
              </w:rPr>
              <w:t>5</w:t>
            </w:r>
          </w:p>
        </w:tc>
        <w:tc>
          <w:tcPr>
            <w:tcW w:w="7965" w:type="dxa"/>
            <w:tcBorders>
              <w:tl2br w:val="nil"/>
              <w:tr2bl w:val="nil"/>
            </w:tcBorders>
            <w:vAlign w:val="center"/>
          </w:tcPr>
          <w:p w14:paraId="190330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无追溯码药品管理</w:t>
            </w:r>
          </w:p>
        </w:tc>
      </w:tr>
      <w:tr w14:paraId="3A24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D69466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.1</w:t>
            </w:r>
          </w:p>
        </w:tc>
        <w:tc>
          <w:tcPr>
            <w:tcW w:w="7965" w:type="dxa"/>
            <w:tcBorders>
              <w:tl2br w:val="nil"/>
              <w:tr2bl w:val="nil"/>
            </w:tcBorders>
            <w:vAlign w:val="center"/>
          </w:tcPr>
          <w:p w14:paraId="7E51C75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若药品无追溯码，支持在药品字典中新增无需追溯标识。</w:t>
            </w:r>
          </w:p>
        </w:tc>
      </w:tr>
      <w:tr w14:paraId="09E5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C67FCA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.2</w:t>
            </w:r>
          </w:p>
        </w:tc>
        <w:tc>
          <w:tcPr>
            <w:tcW w:w="7965" w:type="dxa"/>
            <w:tcBorders>
              <w:tl2br w:val="nil"/>
              <w:tr2bl w:val="nil"/>
            </w:tcBorders>
            <w:vAlign w:val="center"/>
          </w:tcPr>
          <w:p w14:paraId="7C15247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若设置为无需追溯药品，则该药品即可支持无追溯码自动核发，并上传该药品追溯码信息至医保系统，确保上传率不受影响。</w:t>
            </w:r>
          </w:p>
        </w:tc>
      </w:tr>
      <w:tr w14:paraId="6ED1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EA44F8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6</w:t>
            </w:r>
          </w:p>
        </w:tc>
        <w:tc>
          <w:tcPr>
            <w:tcW w:w="7965" w:type="dxa"/>
            <w:tcBorders>
              <w:tl2br w:val="nil"/>
              <w:tr2bl w:val="nil"/>
            </w:tcBorders>
            <w:vAlign w:val="center"/>
          </w:tcPr>
          <w:p w14:paraId="3957CD5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退药追溯码管理</w:t>
            </w:r>
          </w:p>
        </w:tc>
      </w:tr>
      <w:tr w14:paraId="4A2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800C90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.1</w:t>
            </w:r>
          </w:p>
        </w:tc>
        <w:tc>
          <w:tcPr>
            <w:tcW w:w="7965" w:type="dxa"/>
            <w:tcBorders>
              <w:tl2br w:val="nil"/>
              <w:tr2bl w:val="nil"/>
            </w:tcBorders>
            <w:vAlign w:val="center"/>
          </w:tcPr>
          <w:p w14:paraId="5C0EA1E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系统能够为门急诊、住院、静配各部门患者的退药进行追溯码管理。</w:t>
            </w:r>
          </w:p>
        </w:tc>
      </w:tr>
      <w:tr w14:paraId="2CC0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1D031C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.2</w:t>
            </w:r>
          </w:p>
        </w:tc>
        <w:tc>
          <w:tcPr>
            <w:tcW w:w="7965" w:type="dxa"/>
            <w:tcBorders>
              <w:tl2br w:val="nil"/>
              <w:tr2bl w:val="nil"/>
            </w:tcBorders>
            <w:vAlign w:val="center"/>
          </w:tcPr>
          <w:p w14:paraId="4B2C6F0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关于退药追溯码的采集、智能预警提醒、一键推送等功能需求同门急诊药房追溯码管理系统。</w:t>
            </w:r>
          </w:p>
        </w:tc>
      </w:tr>
      <w:tr w14:paraId="2EC2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EB66B7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7</w:t>
            </w:r>
          </w:p>
        </w:tc>
        <w:tc>
          <w:tcPr>
            <w:tcW w:w="7965" w:type="dxa"/>
            <w:tcBorders>
              <w:tl2br w:val="nil"/>
              <w:tr2bl w:val="nil"/>
            </w:tcBorders>
            <w:vAlign w:val="center"/>
          </w:tcPr>
          <w:p w14:paraId="2C6F6AF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报表管理</w:t>
            </w:r>
          </w:p>
        </w:tc>
      </w:tr>
      <w:tr w14:paraId="46D5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B0F226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.1</w:t>
            </w:r>
          </w:p>
        </w:tc>
        <w:tc>
          <w:tcPr>
            <w:tcW w:w="7965" w:type="dxa"/>
            <w:tcBorders>
              <w:tl2br w:val="nil"/>
              <w:tr2bl w:val="nil"/>
            </w:tcBorders>
            <w:vAlign w:val="center"/>
          </w:tcPr>
          <w:p w14:paraId="6324DA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支持数据报表统计功能，如可统计指定时间段内的系统接收到的总处方数量、药品数量总和及使用本系统识别到的药品追溯码条目等数据信息。</w:t>
            </w:r>
          </w:p>
        </w:tc>
      </w:tr>
      <w:tr w14:paraId="0380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38996C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.2</w:t>
            </w:r>
          </w:p>
        </w:tc>
        <w:tc>
          <w:tcPr>
            <w:tcW w:w="7965" w:type="dxa"/>
            <w:tcBorders>
              <w:tl2br w:val="nil"/>
              <w:tr2bl w:val="nil"/>
            </w:tcBorders>
            <w:vAlign w:val="center"/>
          </w:tcPr>
          <w:p w14:paraId="3E6FA49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支持实时查询和统计各药品追溯码上传情况。</w:t>
            </w:r>
          </w:p>
        </w:tc>
      </w:tr>
      <w:tr w14:paraId="5F1C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570" w:hRule="atLeast"/>
        </w:trPr>
        <w:tc>
          <w:tcPr>
            <w:tcW w:w="1283" w:type="dxa"/>
            <w:gridSpan w:val="2"/>
            <w:tcBorders>
              <w:tl2br w:val="nil"/>
              <w:tr2bl w:val="nil"/>
            </w:tcBorders>
            <w:vAlign w:val="center"/>
          </w:tcPr>
          <w:p w14:paraId="7F32E25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.3</w:t>
            </w:r>
          </w:p>
        </w:tc>
        <w:tc>
          <w:tcPr>
            <w:tcW w:w="7965" w:type="dxa"/>
            <w:tcBorders>
              <w:tl2br w:val="nil"/>
              <w:tr2bl w:val="nil"/>
            </w:tcBorders>
            <w:vAlign w:val="center"/>
          </w:tcPr>
          <w:p w14:paraId="788FC96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系统应提供详细的拆零用药记录报表，支持展示拆零处方及对应的药品追溯码信息、批号、效期、生产日期、厂家、数量、发药人、发药信息等。</w:t>
            </w:r>
          </w:p>
        </w:tc>
      </w:tr>
      <w:tr w14:paraId="69D0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50FF7F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.4</w:t>
            </w:r>
          </w:p>
        </w:tc>
        <w:tc>
          <w:tcPr>
            <w:tcW w:w="7965" w:type="dxa"/>
            <w:tcBorders>
              <w:tl2br w:val="nil"/>
              <w:tr2bl w:val="nil"/>
            </w:tcBorders>
            <w:vAlign w:val="center"/>
          </w:tcPr>
          <w:p w14:paraId="12E533F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系统应支持展示完整的发药记录，包括处方信息及对应的药品追溯码、批号、效期、生产日期、厂家、数量、发药人和发药信息等。</w:t>
            </w:r>
          </w:p>
        </w:tc>
      </w:tr>
      <w:tr w14:paraId="5375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0A46AE9">
            <w:pPr>
              <w:keepNext w:val="0"/>
              <w:keepLines w:val="0"/>
              <w:pageBreakBefore w:val="0"/>
              <w:widowControl w:val="0"/>
              <w:kinsoku/>
              <w:wordWrap/>
              <w:overflowPunct/>
              <w:topLinePunct w:val="0"/>
              <w:autoSpaceDE/>
              <w:autoSpaceDN/>
              <w:bidi w:val="0"/>
              <w:adjustRightInd/>
              <w:spacing w:line="560" w:lineRule="exact"/>
              <w:ind w:firstLine="281" w:firstLineChars="1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8</w:t>
            </w:r>
          </w:p>
        </w:tc>
        <w:tc>
          <w:tcPr>
            <w:tcW w:w="7965" w:type="dxa"/>
            <w:tcBorders>
              <w:tl2br w:val="nil"/>
              <w:tr2bl w:val="nil"/>
            </w:tcBorders>
            <w:vAlign w:val="center"/>
          </w:tcPr>
          <w:p w14:paraId="291723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采购计划管理</w:t>
            </w:r>
          </w:p>
        </w:tc>
      </w:tr>
      <w:tr w14:paraId="573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D71D07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.1</w:t>
            </w:r>
          </w:p>
        </w:tc>
        <w:tc>
          <w:tcPr>
            <w:tcW w:w="7965" w:type="dxa"/>
            <w:tcBorders>
              <w:tl2br w:val="nil"/>
              <w:tr2bl w:val="nil"/>
            </w:tcBorders>
            <w:vAlign w:val="center"/>
          </w:tcPr>
          <w:p w14:paraId="2303E9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color w:val="000000"/>
                <w:kern w:val="0"/>
                <w:sz w:val="28"/>
                <w:szCs w:val="28"/>
              </w:rPr>
              <w:t>系统能够快速制定采购计划。系统支持药房、静配中心自动生成药品采购计划申请单，药房采购计划经核查审批后上传给药库，系统自动帮助药库将各药房的采购计划进行汇总，并根据配送公司进行药品分类，快速制定出药品采购计划。</w:t>
            </w:r>
            <w:r>
              <w:rPr>
                <w:rFonts w:hint="eastAsia" w:ascii="仿宋" w:hAnsi="仿宋" w:eastAsia="仿宋" w:cs="仿宋"/>
                <w:sz w:val="28"/>
                <w:szCs w:val="28"/>
              </w:rPr>
              <w:t>（提供所投产品案例或系统功能截图）</w:t>
            </w:r>
            <w:r>
              <w:rPr>
                <w:rFonts w:hint="eastAsia" w:ascii="仿宋" w:hAnsi="仿宋" w:eastAsia="仿宋" w:cs="仿宋"/>
                <w:sz w:val="28"/>
                <w:szCs w:val="28"/>
                <w:lang w:eastAsia="zh-CN"/>
              </w:rPr>
              <w:t>。</w:t>
            </w:r>
          </w:p>
        </w:tc>
      </w:tr>
      <w:tr w14:paraId="751E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43450D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color w:val="000000" w:themeColor="text1"/>
                <w:sz w:val="28"/>
                <w:szCs w:val="28"/>
                <w:highlight w:val="none"/>
                <w:shd w:val="clear" w:fill="FFFFFF" w:themeFill="background1"/>
                <w:lang w:val="en-US" w:eastAsia="zh-CN"/>
                <w14:textFill>
                  <w14:solidFill>
                    <w14:schemeClr w14:val="tx1"/>
                  </w14:solidFill>
                </w14:textFill>
              </w:rPr>
              <w:t>★8</w:t>
            </w:r>
            <w:r>
              <w:rPr>
                <w:rFonts w:hint="eastAsia" w:ascii="仿宋" w:hAnsi="仿宋" w:eastAsia="仿宋" w:cs="仿宋"/>
                <w:color w:val="000000" w:themeColor="text1"/>
                <w:sz w:val="28"/>
                <w:szCs w:val="28"/>
                <w:highlight w:val="none"/>
                <w:shd w:val="clear" w:fill="FFFFFF" w:themeFill="background1"/>
                <w14:textFill>
                  <w14:solidFill>
                    <w14:schemeClr w14:val="tx1"/>
                  </w14:solidFill>
                </w14:textFill>
              </w:rPr>
              <w:t>.2</w:t>
            </w:r>
          </w:p>
        </w:tc>
        <w:tc>
          <w:tcPr>
            <w:tcW w:w="7965" w:type="dxa"/>
            <w:tcBorders>
              <w:tl2br w:val="nil"/>
              <w:tr2bl w:val="nil"/>
            </w:tcBorders>
            <w:vAlign w:val="center"/>
          </w:tcPr>
          <w:p w14:paraId="571DE6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
                <w:sz w:val="28"/>
                <w:szCs w:val="28"/>
                <w:lang w:val="en-US" w:eastAsia="zh-CN"/>
              </w:rPr>
            </w:pPr>
            <w:r>
              <w:rPr>
                <w:rFonts w:hint="eastAsia" w:ascii="仿宋" w:hAnsi="仿宋" w:eastAsia="仿宋" w:cs="仿宋"/>
                <w:color w:val="auto"/>
                <w:kern w:val="0"/>
                <w:sz w:val="28"/>
                <w:szCs w:val="28"/>
                <w:highlight w:val="none"/>
                <w:lang w:val="en-US" w:eastAsia="zh-CN"/>
              </w:rPr>
              <w:t>中标方需承诺根据院方需求在安徽省医药集中采购平台开放接口及授权的情况下，后续可实现</w:t>
            </w:r>
            <w:r>
              <w:rPr>
                <w:rFonts w:hint="eastAsia" w:ascii="仿宋" w:hAnsi="仿宋" w:eastAsia="仿宋" w:cs="仿宋"/>
                <w:color w:val="auto"/>
                <w:kern w:val="0"/>
                <w:sz w:val="28"/>
                <w:szCs w:val="28"/>
                <w:highlight w:val="none"/>
              </w:rPr>
              <w:t>支持药品采购计划一键补传功能。即：系统支持医院药库在确认收货药品后，能自动将采购数据上传至安徽省医药集中采购平台</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 xml:space="preserve">同时不收取相应接口费用(如果后期安徽省政策性要求对接新增加功能，或变动接口,并有接口文档，后期免费对接）。（提供承诺函） </w:t>
            </w:r>
          </w:p>
        </w:tc>
      </w:tr>
      <w:tr w14:paraId="4A30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881CDC1">
            <w:pPr>
              <w:keepNext w:val="0"/>
              <w:keepLines w:val="0"/>
              <w:pageBreakBefore w:val="0"/>
              <w:widowControl w:val="0"/>
              <w:kinsoku/>
              <w:wordWrap/>
              <w:overflowPunct/>
              <w:topLinePunct w:val="0"/>
              <w:autoSpaceDE/>
              <w:autoSpaceDN/>
              <w:bidi w:val="0"/>
              <w:adjustRightInd/>
              <w:spacing w:line="560" w:lineRule="exact"/>
              <w:textAlignment w:val="auto"/>
              <w:rPr>
                <w:rFonts w:hint="default" w:ascii="仿宋" w:hAnsi="仿宋" w:eastAsia="仿宋" w:cs="仿宋"/>
                <w:color w:val="000000" w:themeColor="text1"/>
                <w:sz w:val="28"/>
                <w:szCs w:val="28"/>
                <w:highlight w:val="none"/>
                <w:shd w:val="clear" w:fill="FFFFFF" w:themeFill="background1"/>
                <w:lang w:val="en-US" w:eastAsia="zh-CN"/>
                <w14:textFill>
                  <w14:solidFill>
                    <w14:schemeClr w14:val="tx1"/>
                  </w14:solidFill>
                </w14:textFill>
              </w:rPr>
            </w:pPr>
            <w:bookmarkStart w:id="20" w:name="_Toc3768"/>
            <w:r>
              <w:rPr>
                <w:rFonts w:hint="eastAsia" w:ascii="仿宋" w:hAnsi="仿宋" w:eastAsia="仿宋" w:cs="仿宋"/>
                <w:sz w:val="28"/>
                <w:szCs w:val="28"/>
                <w:highlight w:val="none"/>
              </w:rPr>
              <w:t>★</w:t>
            </w:r>
            <w:r>
              <w:rPr>
                <w:rFonts w:hint="eastAsia" w:ascii="仿宋" w:hAnsi="仿宋" w:eastAsia="仿宋" w:cs="仿宋"/>
                <w:color w:val="000000" w:themeColor="text1"/>
                <w:sz w:val="28"/>
                <w:szCs w:val="28"/>
                <w:highlight w:val="none"/>
                <w:shd w:val="clear" w:fill="FFFFFF" w:themeFill="background1"/>
                <w:lang w:val="en-US" w:eastAsia="zh-CN"/>
                <w14:textFill>
                  <w14:solidFill>
                    <w14:schemeClr w14:val="tx1"/>
                  </w14:solidFill>
                </w14:textFill>
              </w:rPr>
              <w:t>9</w:t>
            </w:r>
          </w:p>
        </w:tc>
        <w:tc>
          <w:tcPr>
            <w:tcW w:w="7965" w:type="dxa"/>
            <w:tcBorders>
              <w:tl2br w:val="nil"/>
              <w:tr2bl w:val="nil"/>
            </w:tcBorders>
            <w:vAlign w:val="center"/>
          </w:tcPr>
          <w:p w14:paraId="7AD5BCED">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b/>
                <w:bCs/>
                <w:color w:val="000000"/>
                <w:sz w:val="28"/>
                <w:szCs w:val="28"/>
                <w:highlight w:val="none"/>
                <w:lang w:val="en-US" w:eastAsia="zh-CN"/>
              </w:rPr>
              <w:t>中标方承诺提供中标产品相应的服务器资源并负责日常的维护工作。（提供承诺函）</w:t>
            </w:r>
          </w:p>
        </w:tc>
      </w:tr>
      <w:bookmarkEnd w:id="20"/>
      <w:tr w14:paraId="5626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263" w:type="dxa"/>
            <w:gridSpan w:val="4"/>
            <w:tcBorders>
              <w:tl2br w:val="nil"/>
              <w:tr2bl w:val="nil"/>
            </w:tcBorders>
            <w:vAlign w:val="center"/>
          </w:tcPr>
          <w:p w14:paraId="5E8EDC23">
            <w:pPr>
              <w:spacing w:line="48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b/>
                <w:bCs/>
                <w:color w:val="000000"/>
                <w:kern w:val="0"/>
                <w:sz w:val="28"/>
                <w:szCs w:val="28"/>
              </w:rPr>
              <w:t>系统硬件部分</w:t>
            </w:r>
          </w:p>
        </w:tc>
      </w:tr>
      <w:tr w14:paraId="42CD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tcBorders>
              <w:tl2br w:val="nil"/>
              <w:tr2bl w:val="nil"/>
            </w:tcBorders>
            <w:vAlign w:val="center"/>
          </w:tcPr>
          <w:p w14:paraId="2D532678">
            <w:pPr>
              <w:spacing w:line="480" w:lineRule="exact"/>
              <w:rPr>
                <w:rFonts w:hint="eastAsia" w:ascii="仿宋" w:hAnsi="仿宋" w:eastAsia="仿宋" w:cs="仿宋"/>
                <w:sz w:val="28"/>
                <w:szCs w:val="28"/>
              </w:rPr>
            </w:pPr>
            <w:r>
              <w:rPr>
                <w:rFonts w:hint="eastAsia" w:ascii="仿宋" w:hAnsi="仿宋" w:eastAsia="仿宋" w:cs="仿宋"/>
                <w:sz w:val="28"/>
                <w:szCs w:val="28"/>
              </w:rPr>
              <w:t>1</w:t>
            </w:r>
          </w:p>
        </w:tc>
        <w:tc>
          <w:tcPr>
            <w:tcW w:w="8340" w:type="dxa"/>
            <w:gridSpan w:val="3"/>
            <w:tcBorders>
              <w:tl2br w:val="nil"/>
              <w:tr2bl w:val="nil"/>
            </w:tcBorders>
            <w:vAlign w:val="center"/>
          </w:tcPr>
          <w:p w14:paraId="5D8C9FE6">
            <w:pPr>
              <w:spacing w:line="48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操作系统：CPU为八核处理器及以上，主频≥2.</w:t>
            </w: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rPr>
              <w:t>GHz。</w:t>
            </w:r>
          </w:p>
          <w:p w14:paraId="5B13FFAE">
            <w:pPr>
              <w:spacing w:line="48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内存≥4GB，存储≥64GB。</w:t>
            </w:r>
          </w:p>
        </w:tc>
      </w:tr>
      <w:tr w14:paraId="6756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3" w:type="dxa"/>
            <w:tcBorders>
              <w:tl2br w:val="nil"/>
              <w:tr2bl w:val="nil"/>
            </w:tcBorders>
            <w:vAlign w:val="center"/>
          </w:tcPr>
          <w:p w14:paraId="12A80BDE">
            <w:pPr>
              <w:spacing w:line="480" w:lineRule="exact"/>
              <w:rPr>
                <w:rFonts w:hint="eastAsia" w:ascii="仿宋" w:hAnsi="仿宋" w:eastAsia="仿宋" w:cs="仿宋"/>
                <w:sz w:val="28"/>
                <w:szCs w:val="28"/>
              </w:rPr>
            </w:pPr>
            <w:r>
              <w:rPr>
                <w:rFonts w:hint="eastAsia" w:ascii="仿宋" w:hAnsi="仿宋" w:eastAsia="仿宋" w:cs="仿宋"/>
                <w:sz w:val="28"/>
                <w:szCs w:val="28"/>
              </w:rPr>
              <w:t>2</w:t>
            </w:r>
          </w:p>
        </w:tc>
        <w:tc>
          <w:tcPr>
            <w:tcW w:w="8340" w:type="dxa"/>
            <w:gridSpan w:val="3"/>
            <w:tcBorders>
              <w:tl2br w:val="nil"/>
              <w:tr2bl w:val="nil"/>
            </w:tcBorders>
            <w:vAlign w:val="center"/>
          </w:tcPr>
          <w:p w14:paraId="39714361">
            <w:pPr>
              <w:spacing w:line="48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显示屏：≥5.0英寸，分辨率≥1280×720（高清）。</w:t>
            </w:r>
          </w:p>
        </w:tc>
      </w:tr>
      <w:tr w14:paraId="526C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3" w:type="dxa"/>
            <w:tcBorders>
              <w:tl2br w:val="nil"/>
              <w:tr2bl w:val="nil"/>
            </w:tcBorders>
            <w:vAlign w:val="center"/>
          </w:tcPr>
          <w:p w14:paraId="1A8A51DF">
            <w:pPr>
              <w:spacing w:line="480" w:lineRule="exact"/>
              <w:rPr>
                <w:rFonts w:hint="eastAsia" w:ascii="仿宋" w:hAnsi="仿宋" w:eastAsia="仿宋" w:cs="仿宋"/>
                <w:sz w:val="28"/>
                <w:szCs w:val="28"/>
              </w:rPr>
            </w:pPr>
            <w:r>
              <w:rPr>
                <w:rFonts w:hint="eastAsia" w:ascii="仿宋" w:hAnsi="仿宋" w:eastAsia="仿宋" w:cs="仿宋"/>
                <w:sz w:val="28"/>
                <w:szCs w:val="28"/>
              </w:rPr>
              <w:t>3</w:t>
            </w:r>
          </w:p>
        </w:tc>
        <w:tc>
          <w:tcPr>
            <w:tcW w:w="8340" w:type="dxa"/>
            <w:gridSpan w:val="3"/>
            <w:tcBorders>
              <w:tl2br w:val="nil"/>
              <w:tr2bl w:val="nil"/>
            </w:tcBorders>
            <w:vAlign w:val="center"/>
          </w:tcPr>
          <w:p w14:paraId="0FB3AF08">
            <w:pPr>
              <w:spacing w:line="48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电池：可卸载式，容量≥5000mAh，一次充电正常工作时间≥5小时。</w:t>
            </w:r>
          </w:p>
        </w:tc>
      </w:tr>
      <w:tr w14:paraId="051B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3" w:type="dxa"/>
            <w:tcBorders>
              <w:tl2br w:val="nil"/>
              <w:tr2bl w:val="nil"/>
            </w:tcBorders>
            <w:vAlign w:val="center"/>
          </w:tcPr>
          <w:p w14:paraId="2A8D22C9">
            <w:pPr>
              <w:spacing w:line="480" w:lineRule="exact"/>
              <w:rPr>
                <w:rFonts w:hint="eastAsia" w:ascii="仿宋" w:hAnsi="仿宋" w:eastAsia="仿宋" w:cs="仿宋"/>
                <w:sz w:val="28"/>
                <w:szCs w:val="28"/>
              </w:rPr>
            </w:pPr>
            <w:r>
              <w:rPr>
                <w:rFonts w:hint="eastAsia" w:ascii="仿宋" w:hAnsi="仿宋" w:eastAsia="仿宋" w:cs="仿宋"/>
                <w:sz w:val="28"/>
                <w:szCs w:val="28"/>
              </w:rPr>
              <w:t>4</w:t>
            </w:r>
          </w:p>
        </w:tc>
        <w:tc>
          <w:tcPr>
            <w:tcW w:w="8340" w:type="dxa"/>
            <w:gridSpan w:val="3"/>
            <w:tcBorders>
              <w:tl2br w:val="nil"/>
              <w:tr2bl w:val="nil"/>
            </w:tcBorders>
            <w:vAlign w:val="center"/>
          </w:tcPr>
          <w:p w14:paraId="660EDA5B">
            <w:pPr>
              <w:spacing w:line="48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条码识别：支持一维码和二维码。</w:t>
            </w:r>
          </w:p>
        </w:tc>
      </w:tr>
      <w:tr w14:paraId="1A2F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tcBorders>
              <w:tl2br w:val="nil"/>
              <w:tr2bl w:val="nil"/>
            </w:tcBorders>
            <w:vAlign w:val="center"/>
          </w:tcPr>
          <w:p w14:paraId="7E0FACD6">
            <w:pPr>
              <w:spacing w:line="48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8340" w:type="dxa"/>
            <w:gridSpan w:val="3"/>
            <w:tcBorders>
              <w:tl2br w:val="nil"/>
              <w:tr2bl w:val="nil"/>
            </w:tcBorders>
            <w:vAlign w:val="center"/>
          </w:tcPr>
          <w:p w14:paraId="2CB3339D">
            <w:pPr>
              <w:spacing w:line="480" w:lineRule="exact"/>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数量</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15</w:t>
            </w:r>
            <w:r>
              <w:rPr>
                <w:rFonts w:hint="eastAsia" w:ascii="仿宋" w:hAnsi="仿宋" w:eastAsia="仿宋" w:cs="仿宋"/>
                <w:color w:val="000000"/>
                <w:kern w:val="0"/>
                <w:sz w:val="28"/>
                <w:szCs w:val="28"/>
                <w:highlight w:val="none"/>
              </w:rPr>
              <w:t>台</w:t>
            </w:r>
          </w:p>
        </w:tc>
      </w:tr>
    </w:tbl>
    <w:tbl>
      <w:tblPr>
        <w:tblStyle w:val="4"/>
        <w:tblpPr w:leftFromText="180" w:rightFromText="180" w:vertAnchor="text" w:tblpX="10585" w:tblpY="-305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tblGrid>
      <w:tr w14:paraId="2B30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242" w:type="dxa"/>
          </w:tcPr>
          <w:p w14:paraId="122E2CD3">
            <w:pPr>
              <w:pStyle w:val="2"/>
              <w:rPr>
                <w:rFonts w:hint="eastAsia" w:ascii="仿宋" w:hAnsi="仿宋" w:eastAsia="仿宋" w:cs="仿宋"/>
                <w:color w:val="C00000"/>
                <w:vertAlign w:val="baseline"/>
                <w:lang w:val="en-US" w:eastAsia="zh-CN"/>
              </w:rPr>
            </w:pPr>
          </w:p>
        </w:tc>
      </w:tr>
      <w:tr w14:paraId="6FE3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42" w:type="dxa"/>
          </w:tcPr>
          <w:p w14:paraId="7B213C2E">
            <w:pPr>
              <w:pStyle w:val="2"/>
              <w:rPr>
                <w:rFonts w:hint="eastAsia" w:ascii="仿宋" w:hAnsi="仿宋" w:eastAsia="仿宋" w:cs="仿宋"/>
                <w:color w:val="C00000"/>
                <w:vertAlign w:val="baseline"/>
                <w:lang w:val="en-US" w:eastAsia="zh-CN"/>
              </w:rPr>
            </w:pPr>
          </w:p>
        </w:tc>
      </w:tr>
    </w:tbl>
    <w:tbl>
      <w:tblPr>
        <w:tblStyle w:val="4"/>
        <w:tblpPr w:leftFromText="180" w:rightFromText="180" w:vertAnchor="text" w:tblpX="10585" w:tblpY="-309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11"/>
      </w:tblGrid>
      <w:tr w14:paraId="2283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020" w:type="dxa"/>
            <w:gridSpan w:val="2"/>
          </w:tcPr>
          <w:p w14:paraId="0BCB8BC0">
            <w:pPr>
              <w:pStyle w:val="2"/>
              <w:rPr>
                <w:rFonts w:hint="eastAsia" w:ascii="仿宋" w:hAnsi="仿宋" w:eastAsia="仿宋" w:cs="仿宋"/>
                <w:color w:val="C00000"/>
                <w:vertAlign w:val="baseline"/>
                <w:lang w:val="en-US" w:eastAsia="zh-CN"/>
              </w:rPr>
            </w:pPr>
          </w:p>
        </w:tc>
      </w:tr>
      <w:tr w14:paraId="166D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0" w:hRule="atLeast"/>
        </w:trPr>
        <w:tc>
          <w:tcPr>
            <w:tcW w:w="2009" w:type="dxa"/>
          </w:tcPr>
          <w:p w14:paraId="47D94ED0">
            <w:pPr>
              <w:pStyle w:val="2"/>
              <w:rPr>
                <w:rFonts w:hint="eastAsia" w:ascii="仿宋" w:hAnsi="仿宋" w:eastAsia="仿宋" w:cs="仿宋"/>
                <w:color w:val="C00000"/>
                <w:vertAlign w:val="baseline"/>
                <w:lang w:val="en-US" w:eastAsia="zh-CN"/>
              </w:rPr>
            </w:pPr>
          </w:p>
        </w:tc>
      </w:tr>
      <w:tr w14:paraId="5720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0" w:hRule="atLeast"/>
        </w:trPr>
        <w:tc>
          <w:tcPr>
            <w:tcW w:w="2009" w:type="dxa"/>
          </w:tcPr>
          <w:p w14:paraId="1C8C4E6F">
            <w:pPr>
              <w:pStyle w:val="2"/>
              <w:rPr>
                <w:rFonts w:hint="eastAsia" w:ascii="仿宋" w:hAnsi="仿宋" w:eastAsia="仿宋" w:cs="仿宋"/>
                <w:color w:val="C00000"/>
                <w:vertAlign w:val="baseline"/>
                <w:lang w:val="en-US" w:eastAsia="zh-CN"/>
              </w:rPr>
            </w:pPr>
          </w:p>
        </w:tc>
      </w:tr>
    </w:tbl>
    <w:p w14:paraId="1D510CBC">
      <w:pPr>
        <w:pStyle w:val="2"/>
        <w:rPr>
          <w:rFonts w:hint="eastAsia" w:ascii="仿宋" w:hAnsi="仿宋" w:eastAsia="仿宋" w:cs="仿宋"/>
          <w:color w:val="C00000"/>
          <w:lang w:val="en-US" w:eastAsia="zh-CN"/>
        </w:rPr>
      </w:pPr>
    </w:p>
    <w:tbl>
      <w:tblPr>
        <w:tblStyle w:val="3"/>
        <w:tblpPr w:leftFromText="180" w:rightFromText="180" w:vertAnchor="text" w:horzAnchor="page" w:tblpX="1637" w:tblpY="516"/>
        <w:tblOverlap w:val="never"/>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30"/>
        <w:gridCol w:w="8307"/>
        <w:gridCol w:w="3"/>
      </w:tblGrid>
      <w:tr w14:paraId="1FEF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46" w:hRule="atLeast"/>
        </w:trPr>
        <w:tc>
          <w:tcPr>
            <w:tcW w:w="9260" w:type="dxa"/>
            <w:gridSpan w:val="3"/>
            <w:tcBorders>
              <w:tl2br w:val="nil"/>
              <w:tr2bl w:val="nil"/>
            </w:tcBorders>
            <w:vAlign w:val="center"/>
          </w:tcPr>
          <w:p w14:paraId="71A9FB09">
            <w:pPr>
              <w:spacing w:line="480" w:lineRule="exact"/>
              <w:jc w:val="center"/>
              <w:rPr>
                <w:rFonts w:hint="eastAsia" w:ascii="仿宋" w:hAnsi="仿宋" w:eastAsia="仿宋" w:cs="仿宋"/>
                <w:b/>
                <w:bCs/>
                <w:i w:val="0"/>
                <w:iCs w:val="0"/>
                <w:caps w:val="0"/>
                <w:spacing w:val="0"/>
                <w:sz w:val="28"/>
                <w:szCs w:val="28"/>
                <w:highlight w:val="none"/>
                <w:shd w:val="clear" w:fill="FFFFFF"/>
              </w:rPr>
            </w:pPr>
            <w:r>
              <w:rPr>
                <w:rFonts w:hint="eastAsia" w:ascii="仿宋" w:hAnsi="仿宋" w:eastAsia="仿宋" w:cs="仿宋"/>
                <w:b/>
                <w:bCs/>
                <w:i w:val="0"/>
                <w:iCs w:val="0"/>
                <w:caps w:val="0"/>
                <w:spacing w:val="0"/>
                <w:sz w:val="28"/>
                <w:szCs w:val="28"/>
                <w:highlight w:val="none"/>
                <w:shd w:val="clear" w:fill="FFFFFF"/>
              </w:rPr>
              <w:t>药品追溯码医院药店UDI码专用扫描高拍仪溯源码一体机批量扫码器</w:t>
            </w:r>
          </w:p>
          <w:p w14:paraId="426FA475">
            <w:pPr>
              <w:ind w:firstLine="210" w:firstLineChars="100"/>
              <w:rPr>
                <w:rFonts w:hint="eastAsia" w:ascii="仿宋" w:hAnsi="仿宋" w:eastAsia="仿宋" w:cs="仿宋"/>
                <w:highlight w:val="none"/>
              </w:rPr>
            </w:pPr>
          </w:p>
        </w:tc>
      </w:tr>
      <w:tr w14:paraId="339B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920" w:hRule="atLeast"/>
        </w:trPr>
        <w:tc>
          <w:tcPr>
            <w:tcW w:w="953" w:type="dxa"/>
            <w:gridSpan w:val="2"/>
            <w:tcBorders>
              <w:tl2br w:val="nil"/>
              <w:tr2bl w:val="nil"/>
            </w:tcBorders>
            <w:vAlign w:val="center"/>
          </w:tcPr>
          <w:p w14:paraId="50EFF3E3">
            <w:pPr>
              <w:spacing w:line="480" w:lineRule="exact"/>
              <w:jc w:val="center"/>
              <w:rPr>
                <w:rFonts w:hint="eastAsia" w:ascii="仿宋" w:hAnsi="仿宋" w:eastAsia="仿宋" w:cs="仿宋"/>
                <w:b w:val="0"/>
                <w:bCs w:val="0"/>
                <w:color w:val="C00000"/>
                <w:sz w:val="24"/>
                <w:szCs w:val="24"/>
                <w:highlight w:val="none"/>
                <w:lang w:val="en-US" w:eastAsia="zh-CN"/>
              </w:rPr>
            </w:pPr>
            <w:r>
              <w:rPr>
                <w:rFonts w:hint="eastAsia" w:ascii="仿宋" w:hAnsi="仿宋" w:eastAsia="仿宋" w:cs="仿宋"/>
                <w:b w:val="0"/>
                <w:bCs w:val="0"/>
                <w:color w:val="C00000"/>
                <w:sz w:val="24"/>
                <w:szCs w:val="24"/>
                <w:highlight w:val="none"/>
                <w:lang w:val="en-US" w:eastAsia="zh-CN"/>
              </w:rPr>
              <w:t>1</w:t>
            </w:r>
          </w:p>
        </w:tc>
        <w:tc>
          <w:tcPr>
            <w:tcW w:w="8307" w:type="dxa"/>
            <w:tcBorders>
              <w:tl2br w:val="nil"/>
              <w:tr2bl w:val="nil"/>
            </w:tcBorders>
            <w:vAlign w:val="center"/>
          </w:tcPr>
          <w:p w14:paraId="75B68A58">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整机尺寸:≥407mmx360mm*510mm           产品颜色:白色/黑色</w:t>
            </w:r>
          </w:p>
          <w:p w14:paraId="26CB8803">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电源:DC12V,3A                        操作系统:Android 9.0       </w:t>
            </w:r>
          </w:p>
          <w:p w14:paraId="1F7061DA">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存储内存（ROM）：≥64G</w:t>
            </w:r>
          </w:p>
          <w:p w14:paraId="088BB7A4">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处理器(CPU):八核处理器及以上，主频≥2.0GHz。</w:t>
            </w:r>
          </w:p>
          <w:p w14:paraId="289FE5A6">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液晶显示屏分辨率≥800*1280，全视角</w:t>
            </w:r>
          </w:p>
          <w:p w14:paraId="6C19F797">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WIFI:2.4G/5G双模通信                   工业相机：800W彩色相机</w:t>
            </w:r>
          </w:p>
          <w:p w14:paraId="26169D52">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运行内存(RAM)：≥4GB</w:t>
            </w:r>
          </w:p>
          <w:p w14:paraId="44280465">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条码类型：一维码:Code39,Code93,Code128,CodeBar,EAN,ITF25 等</w:t>
            </w:r>
          </w:p>
          <w:p w14:paraId="274CE6FB">
            <w:pPr>
              <w:pStyle w:val="2"/>
              <w:ind w:firstLine="1200" w:firstLineChars="5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二维码:QR、DM等</w:t>
            </w:r>
          </w:p>
          <w:p w14:paraId="043F0692">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适用场景:医疗、药企、医院，A3幅面-wifi传输数据+网址码自动</w:t>
            </w:r>
          </w:p>
          <w:p w14:paraId="1868D0C7">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多条码同步识别</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A3幅面wifi/USB传输数据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中药码/UDI解析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去中码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SDK二次开发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提供技术开发对接</w:t>
            </w:r>
            <w:r>
              <w:rPr>
                <w:rFonts w:hint="eastAsia" w:ascii="仿宋" w:hAnsi="仿宋" w:eastAsia="仿宋" w:cs="仿宋"/>
                <w:sz w:val="24"/>
                <w:szCs w:val="24"/>
                <w:highlight w:val="none"/>
                <w:lang w:eastAsia="zh-CN"/>
              </w:rPr>
              <w:t>。</w:t>
            </w:r>
          </w:p>
          <w:p w14:paraId="40474993">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数量：3台</w:t>
            </w:r>
          </w:p>
        </w:tc>
      </w:tr>
      <w:tr w14:paraId="148B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263" w:type="dxa"/>
            <w:gridSpan w:val="4"/>
            <w:tcBorders>
              <w:tl2br w:val="nil"/>
              <w:tr2bl w:val="nil"/>
            </w:tcBorders>
            <w:vAlign w:val="center"/>
          </w:tcPr>
          <w:p w14:paraId="0D14BF2F">
            <w:pPr>
              <w:spacing w:line="48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b/>
                <w:bCs/>
                <w:color w:val="000000"/>
                <w:kern w:val="0"/>
                <w:sz w:val="32"/>
                <w:szCs w:val="32"/>
                <w:lang w:eastAsia="zh-CN"/>
              </w:rPr>
              <w:t>平板电脑</w:t>
            </w:r>
          </w:p>
        </w:tc>
      </w:tr>
      <w:tr w14:paraId="104E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923" w:type="dxa"/>
            <w:tcBorders>
              <w:tl2br w:val="nil"/>
              <w:tr2bl w:val="nil"/>
            </w:tcBorders>
            <w:vAlign w:val="center"/>
          </w:tcPr>
          <w:p w14:paraId="5C4BD990">
            <w:pPr>
              <w:spacing w:line="480" w:lineRule="exact"/>
              <w:rPr>
                <w:rFonts w:hint="eastAsia" w:ascii="仿宋" w:hAnsi="仿宋" w:eastAsia="仿宋" w:cs="仿宋"/>
                <w:sz w:val="28"/>
                <w:szCs w:val="28"/>
              </w:rPr>
            </w:pPr>
            <w:r>
              <w:rPr>
                <w:rFonts w:hint="eastAsia" w:ascii="仿宋" w:hAnsi="仿宋" w:eastAsia="仿宋" w:cs="仿宋"/>
                <w:sz w:val="28"/>
                <w:szCs w:val="28"/>
              </w:rPr>
              <w:t>1</w:t>
            </w:r>
          </w:p>
        </w:tc>
        <w:tc>
          <w:tcPr>
            <w:tcW w:w="8340" w:type="dxa"/>
            <w:gridSpan w:val="3"/>
            <w:tcBorders>
              <w:tl2br w:val="nil"/>
              <w:tr2bl w:val="nil"/>
            </w:tcBorders>
            <w:vAlign w:val="center"/>
          </w:tcPr>
          <w:p w14:paraId="4C44DEE6">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屏幕类型：LCD                           电池容量：≥10100mAh</w:t>
            </w:r>
          </w:p>
          <w:p w14:paraId="4F0BAC62">
            <w:pPr>
              <w:rPr>
                <w:rFonts w:hint="eastAsia" w:ascii="仿宋" w:hAnsi="仿宋" w:eastAsia="仿宋" w:cs="仿宋"/>
                <w:sz w:val="24"/>
                <w:szCs w:val="24"/>
              </w:rPr>
            </w:pPr>
            <w:r>
              <w:rPr>
                <w:rFonts w:hint="eastAsia" w:ascii="仿宋" w:hAnsi="仿宋" w:eastAsia="仿宋" w:cs="仿宋"/>
                <w:sz w:val="24"/>
                <w:szCs w:val="24"/>
                <w:lang w:val="en-US" w:eastAsia="zh-CN"/>
              </w:rPr>
              <w:t>前置摄像头像素：≥800W                  后置摄像头像素：≥5000W</w:t>
            </w:r>
          </w:p>
          <w:p w14:paraId="306F296F">
            <w:pPr>
              <w:rPr>
                <w:rFonts w:hint="eastAsia" w:ascii="仿宋" w:hAnsi="仿宋" w:eastAsia="仿宋" w:cs="仿宋"/>
                <w:sz w:val="24"/>
                <w:szCs w:val="24"/>
              </w:rPr>
            </w:pPr>
            <w:r>
              <w:rPr>
                <w:rFonts w:hint="eastAsia" w:ascii="仿宋" w:hAnsi="仿宋" w:eastAsia="仿宋" w:cs="仿宋"/>
                <w:sz w:val="24"/>
                <w:szCs w:val="24"/>
                <w:lang w:val="en-US" w:eastAsia="zh-CN"/>
              </w:rPr>
              <w:t>产品尺寸：≥宽183mm 高5.9mm 长270mm    存储容量：≥512GB</w:t>
            </w:r>
          </w:p>
          <w:p w14:paraId="3A480FB6">
            <w:pP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 xml:space="preserve">能效等级：一级能效 无能效等级  </w:t>
            </w:r>
            <w:r>
              <w:rPr>
                <w:rFonts w:hint="eastAsia" w:ascii="仿宋" w:hAnsi="仿宋" w:eastAsia="仿宋" w:cs="仿宋"/>
                <w:sz w:val="24"/>
                <w:szCs w:val="24"/>
                <w:lang w:val="en-US" w:eastAsia="zh-CN"/>
              </w:rPr>
              <w:t xml:space="preserve">         屏幕分辨率：2.8-3.1K</w:t>
            </w:r>
          </w:p>
          <w:p w14:paraId="0C5E752D">
            <w:pPr>
              <w:rPr>
                <w:rFonts w:hint="eastAsia" w:ascii="仿宋" w:hAnsi="仿宋" w:eastAsia="仿宋" w:cs="仿宋"/>
                <w:sz w:val="24"/>
                <w:szCs w:val="24"/>
              </w:rPr>
            </w:pPr>
            <w:r>
              <w:rPr>
                <w:rFonts w:hint="eastAsia" w:ascii="仿宋" w:hAnsi="仿宋" w:eastAsia="仿宋" w:cs="仿宋"/>
                <w:sz w:val="24"/>
                <w:szCs w:val="24"/>
                <w:lang w:val="en-US" w:eastAsia="zh-CN"/>
              </w:rPr>
              <w:t xml:space="preserve">运行内存：≥12GB                        </w:t>
            </w:r>
            <w:r>
              <w:rPr>
                <w:rFonts w:hint="eastAsia" w:ascii="仿宋" w:hAnsi="仿宋" w:eastAsia="仿宋" w:cs="仿宋"/>
                <w:sz w:val="24"/>
                <w:szCs w:val="24"/>
                <w:highlight w:val="none"/>
                <w:lang w:val="en-US" w:eastAsia="zh-CN"/>
              </w:rPr>
              <w:t>系统：鸿蒙/安卓</w:t>
            </w:r>
          </w:p>
          <w:p w14:paraId="62A9E50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分辨率：≥2800*1840                   </w:t>
            </w:r>
          </w:p>
          <w:p w14:paraId="4D021AC2">
            <w:pPr>
              <w:rPr>
                <w:rFonts w:hint="eastAsia" w:ascii="仿宋" w:hAnsi="仿宋" w:eastAsia="仿宋" w:cs="仿宋"/>
                <w:sz w:val="24"/>
                <w:szCs w:val="24"/>
                <w:highlight w:val="none"/>
                <w:lang w:val="en-US"/>
              </w:rPr>
            </w:pPr>
            <w:r>
              <w:rPr>
                <w:rFonts w:hint="eastAsia" w:ascii="仿宋" w:hAnsi="仿宋" w:eastAsia="仿宋" w:cs="仿宋"/>
                <w:sz w:val="24"/>
                <w:szCs w:val="24"/>
                <w:lang w:val="en-US" w:eastAsia="zh-CN"/>
              </w:rPr>
              <w:t xml:space="preserve">屏幕尺寸：≥12英寸                   </w:t>
            </w:r>
          </w:p>
          <w:p w14:paraId="0A75E97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屏幕比例：≥3:2</w:t>
            </w:r>
          </w:p>
          <w:p w14:paraId="61BF2AAC">
            <w:pP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数量：3台</w:t>
            </w:r>
          </w:p>
        </w:tc>
      </w:tr>
      <w:tr w14:paraId="5387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9263" w:type="dxa"/>
            <w:gridSpan w:val="4"/>
            <w:tcBorders>
              <w:tl2br w:val="nil"/>
              <w:tr2bl w:val="nil"/>
            </w:tcBorders>
            <w:vAlign w:val="center"/>
          </w:tcPr>
          <w:p w14:paraId="7209C28A">
            <w:pPr>
              <w:rPr>
                <w:rFonts w:hint="eastAsia" w:ascii="仿宋" w:hAnsi="仿宋" w:eastAsia="仿宋" w:cs="仿宋"/>
                <w:sz w:val="24"/>
                <w:szCs w:val="24"/>
                <w:lang w:val="en-US" w:eastAsia="zh-CN"/>
              </w:rPr>
            </w:pPr>
            <w:r>
              <w:rPr>
                <w:rFonts w:hint="eastAsia" w:ascii="仿宋" w:hAnsi="仿宋" w:eastAsia="仿宋" w:cs="仿宋"/>
                <w:color w:val="000000"/>
                <w:kern w:val="0"/>
                <w:sz w:val="28"/>
                <w:szCs w:val="28"/>
                <w:lang w:val="en-US" w:eastAsia="zh-CN"/>
              </w:rPr>
              <w:t>以上所需硬件由中标方统一提供,硬件质保期两年。（PDA，药品追溯码医院药店UDI码专用扫描高拍仪溯源码一体机批量扫码器，平板电脑）</w:t>
            </w:r>
          </w:p>
        </w:tc>
      </w:tr>
    </w:tbl>
    <w:p w14:paraId="0C26E05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8"/>
          <w:szCs w:val="28"/>
          <w:lang w:val="en-US" w:eastAsia="zh-CN"/>
        </w:rPr>
      </w:pPr>
    </w:p>
    <w:p w14:paraId="58DE0461">
      <w:pPr>
        <w:keepNext w:val="0"/>
        <w:keepLines w:val="0"/>
        <w:pageBreakBefore w:val="0"/>
        <w:widowControl w:val="0"/>
        <w:kinsoku/>
        <w:wordWrap/>
        <w:overflowPunct/>
        <w:topLinePunct w:val="0"/>
        <w:autoSpaceDE/>
        <w:autoSpaceDN/>
        <w:bidi w:val="0"/>
        <w:adjustRightInd/>
        <w:snapToGrid/>
        <w:spacing w:line="420" w:lineRule="exact"/>
        <w:ind w:firstLine="281" w:firstLineChars="100"/>
        <w:textAlignment w:val="auto"/>
        <w:rPr>
          <w:rFonts w:hint="eastAsia" w:ascii="仿宋" w:hAnsi="仿宋" w:eastAsia="仿宋" w:cs="仿宋"/>
          <w:b/>
          <w:bCs/>
          <w:sz w:val="28"/>
          <w:szCs w:val="28"/>
          <w:highlight w:val="yellow"/>
          <w:lang w:val="en-US" w:eastAsia="zh-CN"/>
        </w:rPr>
      </w:pPr>
      <w:r>
        <w:rPr>
          <w:rFonts w:hint="eastAsia" w:ascii="仿宋" w:hAnsi="仿宋" w:eastAsia="仿宋" w:cs="仿宋"/>
          <w:b/>
          <w:bCs/>
          <w:sz w:val="28"/>
          <w:szCs w:val="28"/>
          <w:lang w:val="en-US" w:eastAsia="zh-CN"/>
        </w:rPr>
        <w:t>注：1、</w:t>
      </w:r>
      <w:r>
        <w:rPr>
          <w:rFonts w:hint="eastAsia" w:ascii="仿宋" w:hAnsi="仿宋" w:eastAsia="仿宋" w:cs="仿宋"/>
          <w:b/>
          <w:bCs/>
          <w:sz w:val="28"/>
          <w:szCs w:val="28"/>
          <w:highlight w:val="none"/>
          <w:lang w:val="en-US" w:eastAsia="zh-CN"/>
        </w:rPr>
        <w:t>以上技术参数中标注“★”条款作为评分项，详见评分细则。</w:t>
      </w:r>
    </w:p>
    <w:p w14:paraId="59FB7AAB">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2、本项目采购的相关系统管理软件需符合财政部、工业和信息化部颁发的《操作系统政府采购需求标准（2023 年版）》、《台式式计算机政府采购需求标准（2023 年版）》、《通用服务器政府采购需求标准（2023 版）》、《工作站政府采购需求标准（2023 年版）》等文件要求，如履约验收期间所投产品不满足相关文件要求，采购人有权追究中标人的违约责任，中标人承担由此产生的一切后果及责任。</w:t>
      </w:r>
    </w:p>
    <w:p w14:paraId="37376813">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本项目拒绝采购进口产品。</w:t>
      </w:r>
    </w:p>
    <w:p w14:paraId="176CD469">
      <w:pPr>
        <w:keepNext w:val="0"/>
        <w:keepLines w:val="0"/>
        <w:pageBreakBefore w:val="0"/>
        <w:widowControl w:val="0"/>
        <w:kinsoku/>
        <w:wordWrap/>
        <w:overflowPunct/>
        <w:topLinePunct w:val="0"/>
        <w:autoSpaceDE/>
        <w:autoSpaceDN/>
        <w:bidi w:val="0"/>
        <w:adjustRightInd/>
        <w:snapToGrid/>
        <w:spacing w:line="420" w:lineRule="exact"/>
        <w:ind w:firstLine="281" w:firstLine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4、政府采购政策(包括但不限于下列具体政策要求):</w:t>
      </w:r>
    </w:p>
    <w:p w14:paraId="2E24125E">
      <w:pPr>
        <w:keepNext w:val="0"/>
        <w:keepLines w:val="0"/>
        <w:pageBreakBefore w:val="0"/>
        <w:widowControl w:val="0"/>
        <w:kinsoku/>
        <w:wordWrap/>
        <w:overflowPunct/>
        <w:topLinePunct w:val="0"/>
        <w:autoSpaceDE/>
        <w:autoSpaceDN/>
        <w:bidi w:val="0"/>
        <w:adjustRightInd/>
        <w:snapToGrid/>
        <w:spacing w:line="420" w:lineRule="exact"/>
        <w:ind w:firstLine="538" w:firstLineChars="200"/>
        <w:textAlignment w:val="auto"/>
        <w:rPr>
          <w:rFonts w:hint="eastAsia"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2DEA877D">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采购的货物如属于国家强制性CCC认证的应通过CCC认证，供应商所投产品如已列入国家强制性产品认证目录的，均应符合国家强制性产品认证（CCC）要求，响应文件中出具承诺函，承诺对于国家强制性产品认证目录范围的产品，若因未通过强制性认证而产生的一切法律责任及经济损失，均由供应商自行承担，承诺函格式自拟。</w:t>
      </w:r>
    </w:p>
    <w:p w14:paraId="593EA15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8"/>
          <w:szCs w:val="28"/>
          <w:lang w:val="en-US" w:eastAsia="zh-CN"/>
        </w:rPr>
      </w:pPr>
    </w:p>
    <w:p w14:paraId="5790D6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28"/>
          <w:szCs w:val="28"/>
          <w:lang w:val="en-US" w:eastAsia="zh-CN"/>
        </w:rPr>
        <w:t>（四）软件功能汇总目标：</w:t>
      </w:r>
    </w:p>
    <w:p w14:paraId="0FBA5CD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1、入库：一键扫码，自动入库。</w:t>
      </w:r>
    </w:p>
    <w:p w14:paraId="174AE1C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2、入库支持大、中、小、包装，出库支持中、小包装。</w:t>
      </w:r>
    </w:p>
    <w:p w14:paraId="1806463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3、退库、退货应具备扫码自动生成、复核退货单，确认退货。</w:t>
      </w:r>
    </w:p>
    <w:p w14:paraId="0090CB5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4、门急诊</w:t>
      </w:r>
      <w:r>
        <w:rPr>
          <w:rFonts w:hint="eastAsia" w:ascii="仿宋" w:hAnsi="仿宋" w:eastAsia="仿宋" w:cs="仿宋"/>
          <w:color w:val="auto"/>
          <w:sz w:val="28"/>
          <w:szCs w:val="28"/>
          <w:lang w:val="en-US" w:eastAsia="zh-CN"/>
        </w:rPr>
        <w:t>处方扫码功能有差异及有效期警示，确认发药，语音包提示（后期承诺免费增加其功能）。</w:t>
      </w:r>
    </w:p>
    <w:p w14:paraId="4CC879B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5、拆零赋码：给门急诊、住院调拨出库，医嘱记账应按照先采先出，自动分配追溯码，无需扫码。</w:t>
      </w:r>
    </w:p>
    <w:p w14:paraId="13AFD1C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6、住院医嘱发药整合扫码应具备差异提示、有效期、生产厂家提示，且有语音警示（后期承诺免费增加其功能）。</w:t>
      </w:r>
      <w:r>
        <w:rPr>
          <w:rFonts w:hint="eastAsia" w:ascii="仿宋" w:hAnsi="仿宋" w:eastAsia="仿宋" w:cs="仿宋"/>
          <w:b w:val="0"/>
          <w:bCs w:val="0"/>
          <w:color w:val="auto"/>
          <w:sz w:val="28"/>
          <w:szCs w:val="28"/>
          <w:lang w:val="en-US" w:eastAsia="zh-CN"/>
        </w:rPr>
        <w:t>发药采用“先进先出”，对于药品快到有效期限的，系统应用主动提醒功能。</w:t>
      </w:r>
    </w:p>
    <w:p w14:paraId="3486A30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7、住院、门急诊退药，扫码系统自动核对此追溯码是否正</w:t>
      </w:r>
      <w:r>
        <w:rPr>
          <w:rFonts w:hint="eastAsia" w:ascii="仿宋" w:hAnsi="仿宋" w:eastAsia="仿宋" w:cs="仿宋"/>
          <w:sz w:val="28"/>
          <w:szCs w:val="28"/>
          <w:lang w:val="en-US" w:eastAsia="zh-CN"/>
        </w:rPr>
        <w:t>确，防止恶意退药。复核药品追溯码警示提醒。</w:t>
      </w:r>
    </w:p>
    <w:p w14:paraId="77862DA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查询统计分析功能：查询药库入库、出库、退库、报损，药房收货、退库、处方、医嘱、报损等出入药品的追溯码全流程记录，以便查询，具备分析查询、全院药品流向等所有需要的报表。追溯码扫描具备提示、报警异常事件</w:t>
      </w:r>
      <w:r>
        <w:rPr>
          <w:rFonts w:hint="eastAsia" w:ascii="仿宋" w:hAnsi="仿宋" w:eastAsia="仿宋" w:cs="仿宋"/>
          <w:b w:val="0"/>
          <w:bCs w:val="0"/>
          <w:color w:val="auto"/>
          <w:sz w:val="28"/>
          <w:szCs w:val="28"/>
          <w:lang w:val="en-US" w:eastAsia="zh-CN"/>
        </w:rPr>
        <w:t>等，要有报表查询统计功能。</w:t>
      </w:r>
    </w:p>
    <w:p w14:paraId="1DD8ED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9、医院外借用药、内借用药、义诊用药、急救用药，追溯全链条管理，需要有报表查询功能。</w:t>
      </w:r>
    </w:p>
    <w:p w14:paraId="634BEBE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10、支持麻精药品电子台账管理，如专用账册。</w:t>
      </w:r>
    </w:p>
    <w:p w14:paraId="69A78F5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11、追溯码对接上传，承诺确保数据扫码识别采集准确且准确率达到100%。</w:t>
      </w:r>
    </w:p>
    <w:p w14:paraId="20C447D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12、软件公司应具备补码系统软件支持，具备追溯码监管平台。并承诺后期需要免费配合支持补码工作。</w:t>
      </w:r>
    </w:p>
    <w:p w14:paraId="0E9D6E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13、岗位扫码，实时记录扫码全过程。并对该岗位扫码数据分析。</w:t>
      </w:r>
    </w:p>
    <w:p w14:paraId="277259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14、与医院医共体系统对接，支持医共体中心药房药品调拨扫码出库。后期根据院方需要，增加出库类型方式。</w:t>
      </w:r>
    </w:p>
    <w:p w14:paraId="66B5AC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省级医药集采平台与医院HIS系统，能进行集采平台数据分析（医院集采任务量、采购量统计与分析，挂网药品、医保支付价药品数据分析）采购计划对接平台，如果后期安徽省政策要求新增对接接口并有接口文档，或者新增加产品功能，后期免费满足。</w:t>
      </w:r>
    </w:p>
    <w:p w14:paraId="6240EC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16、支持中药饮片追溯码对接。</w:t>
      </w:r>
    </w:p>
    <w:p w14:paraId="7AB57D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（五）服务内容要求</w:t>
      </w:r>
    </w:p>
    <w:p w14:paraId="3370F97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1、销售查询</w:t>
      </w:r>
    </w:p>
    <w:p w14:paraId="706DA4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①应支持根据“结算时间”、“上传状态”、“就诊流水号”、“医保结算id”等条件查询药品销售记录；</w:t>
      </w:r>
    </w:p>
    <w:p w14:paraId="25E264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②应支持查看当前销售记录的追溯码信息；</w:t>
      </w:r>
    </w:p>
    <w:p w14:paraId="4D9F2E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③应支持查看上传日志详情；</w:t>
      </w:r>
    </w:p>
    <w:p w14:paraId="49EB9E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④应支持对数据进行重新上传。</w:t>
      </w:r>
    </w:p>
    <w:p w14:paraId="04A1351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2、盘存查询</w:t>
      </w:r>
    </w:p>
    <w:p w14:paraId="114127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①应支持根据“盘点时间段”、“上传状态”、“药品名称”、“国家医保编码”等条件查询药品盘点记录；</w:t>
      </w:r>
    </w:p>
    <w:p w14:paraId="7FF7CFA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②应支持查看当前盘点记录的追溯码信息；</w:t>
      </w:r>
    </w:p>
    <w:p w14:paraId="46FE0B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③应支持查看上传日志详情；</w:t>
      </w:r>
    </w:p>
    <w:p w14:paraId="3CFDE9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④应支持对数据进行重新上传；</w:t>
      </w:r>
    </w:p>
    <w:p w14:paraId="763F0EF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3、采购查询</w:t>
      </w:r>
    </w:p>
    <w:p w14:paraId="5D22FC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①界面应支持根据“采购入库记账时间段”、“上传状态”、“药品名称”、“国家医保编码”等条件查询药品采购记录；</w:t>
      </w:r>
    </w:p>
    <w:p w14:paraId="5EF597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②应支持查看上传日志详情；</w:t>
      </w:r>
    </w:p>
    <w:p w14:paraId="7C9B1B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③应支持对数据进行重新上传；</w:t>
      </w:r>
    </w:p>
    <w:p w14:paraId="5FE15CE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4、追溯码上传</w:t>
      </w:r>
    </w:p>
    <w:p w14:paraId="70D165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应支持按照医保要求对3501盘存信息,3503采购信息,3504退货信息,3505销售信息,3506销售退货信息进行上传。</w:t>
      </w:r>
    </w:p>
    <w:p w14:paraId="60F9031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5、上传设置</w:t>
      </w:r>
    </w:p>
    <w:p w14:paraId="123426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①应支持设置上传场景；</w:t>
      </w:r>
    </w:p>
    <w:p w14:paraId="3EAA24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②应支持设置定时上传时间；</w:t>
      </w:r>
    </w:p>
    <w:p w14:paraId="688F26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③应支持立即调用接口补传数据；</w:t>
      </w:r>
    </w:p>
    <w:p w14:paraId="7F8E95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④应支持院内现有的药品、耗材业务流程及未来相关业务拓展。</w:t>
      </w:r>
    </w:p>
    <w:p w14:paraId="40317F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（六）售后服务及其他要求</w:t>
      </w:r>
    </w:p>
    <w:p w14:paraId="57383DA1">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（1）</w:t>
      </w:r>
      <w:r>
        <w:rPr>
          <w:rFonts w:hint="eastAsia" w:ascii="仿宋" w:hAnsi="仿宋" w:eastAsia="仿宋" w:cs="仿宋"/>
          <w:color w:val="000000"/>
          <w:sz w:val="28"/>
          <w:szCs w:val="28"/>
          <w:highlight w:val="none"/>
          <w:lang w:val="en-US" w:eastAsia="zh-CN"/>
        </w:rPr>
        <w:t>投标人需结合实际情况，拟定详细的实施计划，保证在合同规定时间内上线及上线系统的平稳运行。合同签订生效后，投标人应在具备实施条件后三个工作日内由公司项目经理带领软件技术人员上门进行前期准备，包括需求调研、数据准备等。</w:t>
      </w:r>
    </w:p>
    <w:p w14:paraId="35C6E388">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（2）项目实施方案要求</w:t>
      </w:r>
    </w:p>
    <w:p w14:paraId="63406B73">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投标人应针对本项目出具项目实施方案，包括：</w:t>
      </w:r>
    </w:p>
    <w:p w14:paraId="62A1BB2F">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①项目管理制度：投标人须具备完整的项目管理制度，从项目规划、需求、验收等方面制定项目管理制度。</w:t>
      </w:r>
    </w:p>
    <w:p w14:paraId="47F30E24">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②实施计划：投标人需制定完善的实施计划，明确划分实施节点并列明每节点实施内容。</w:t>
      </w:r>
    </w:p>
    <w:p w14:paraId="21621A64">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③进度控制措施：投标人需制定完善的进度控制措施，从计划阶段入手对项目进度进行跟踪分析及控制。</w:t>
      </w:r>
    </w:p>
    <w:p w14:paraId="29E550A9">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④质量保障措施：投标人需制定完善的质量保障措施，针对项目中可能出现的质量问题制定保障措施。</w:t>
      </w:r>
    </w:p>
    <w:p w14:paraId="4E1D3EB0">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（3）售后服务方案要求</w:t>
      </w:r>
    </w:p>
    <w:p w14:paraId="3C3DE53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投标人应针对本项目出具售后服务方案(需提供承诺函),包括：</w:t>
      </w:r>
    </w:p>
    <w:p w14:paraId="3DA1B48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①售后服务体系：投标人须具备完整的售后服务体系，说明售后服务框架和售后服务响应流程。</w:t>
      </w:r>
    </w:p>
    <w:p w14:paraId="2D05DAD3">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②服务人员配备及分工：投标人需配备售后服务人员并明确分工。</w:t>
      </w:r>
    </w:p>
    <w:p w14:paraId="13422004">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③响应时间：投标人对采购人所反映的一般问题,应在24小时之内做出响应,对应急工作的响应时间应不超过2小时。</w:t>
      </w:r>
    </w:p>
    <w:p w14:paraId="0D073D2A">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④售后服务措施：投标人需提供7*24小时技术服务支持,包括提供远程支援、电话咨询和现场技术处理等服务。</w:t>
      </w:r>
    </w:p>
    <w:p w14:paraId="59A09298">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（4）项目培训方案要求</w:t>
      </w:r>
    </w:p>
    <w:p w14:paraId="6D8CA08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投标人应针对本项目出具完整的培训方案，包括：</w:t>
      </w:r>
    </w:p>
    <w:p w14:paraId="5F4AE841">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①培训内容：培训对象应包括系统管理员、管理人员、操作员。系统管理员培训内容为系统中涉及的相关技术内容；管理人员培训内容为系统流程和相关管理思想；操作员培训内容为系统的操作培训。</w:t>
      </w:r>
    </w:p>
    <w:p w14:paraId="260CD84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②师资力量配备：投标人需配备培训人员并明确分工。</w:t>
      </w:r>
    </w:p>
    <w:p w14:paraId="3632AF13">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③培训人次安排：培训对象应包括系统管理员、管理人员、操作员，且不少于5课时。</w:t>
      </w:r>
    </w:p>
    <w:p w14:paraId="2D999926">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（5）应急预案要求</w:t>
      </w:r>
    </w:p>
    <w:p w14:paraId="6B318A7B">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投标人需提供完善的项目应急预案,包括：</w:t>
      </w:r>
    </w:p>
    <w:p w14:paraId="781682E4">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①响应及排除故障时间安排：投标人对采购人所反映的一般问题,应在24小时之内做出响应,对应急工作的响应时间应不超过2小时，保证在6小时内排除故障。</w:t>
      </w:r>
    </w:p>
    <w:p w14:paraId="0831A7FD">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②保障措施：投标人须具备完整的保障措施，针对项目可能出现的应急情况提出具体保障措施，保障业务应用的安全稳定运行。</w:t>
      </w:r>
    </w:p>
    <w:p w14:paraId="699ED18F">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（6）安全保障方案</w:t>
      </w:r>
      <w:r>
        <w:rPr>
          <w:rFonts w:hint="eastAsia" w:ascii="仿宋" w:hAnsi="仿宋" w:eastAsia="仿宋" w:cs="仿宋"/>
          <w:color w:val="000000"/>
          <w:sz w:val="28"/>
          <w:szCs w:val="28"/>
          <w:highlight w:val="none"/>
          <w:lang w:val="en-US" w:eastAsia="zh-CN"/>
        </w:rPr>
        <w:t>：投标人需在保障现有系统安全体系的前提下，提出确保软件安全可靠的安全策略、安全措施及安全步骤，要求内容全面、符合采购人的实际情况。</w:t>
      </w:r>
    </w:p>
    <w:p w14:paraId="7662C70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（7）项目风险管理方案：</w:t>
      </w:r>
      <w:r>
        <w:rPr>
          <w:rFonts w:hint="eastAsia" w:ascii="仿宋" w:hAnsi="仿宋" w:eastAsia="仿宋" w:cs="仿宋"/>
          <w:color w:val="000000"/>
          <w:sz w:val="28"/>
          <w:szCs w:val="28"/>
          <w:highlight w:val="none"/>
          <w:lang w:val="en-US" w:eastAsia="zh-CN"/>
        </w:rPr>
        <w:t>投标人根据项目建设情况提供完善的项目风险管理方案，内容包含：</w:t>
      </w:r>
    </w:p>
    <w:p w14:paraId="74C2B684">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①风险识别与分析：</w:t>
      </w:r>
      <w:r>
        <w:rPr>
          <w:rFonts w:hint="eastAsia" w:ascii="仿宋" w:hAnsi="仿宋" w:eastAsia="仿宋" w:cs="仿宋"/>
          <w:color w:val="000000"/>
          <w:sz w:val="28"/>
          <w:szCs w:val="28"/>
          <w:highlight w:val="none"/>
          <w:lang w:val="en-US" w:eastAsia="zh-CN"/>
        </w:rPr>
        <w:t>需对项目实施可能出现的风险进行识别与分析。</w:t>
      </w:r>
    </w:p>
    <w:p w14:paraId="735D9FAD">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②风险防范对策：</w:t>
      </w:r>
      <w:r>
        <w:rPr>
          <w:rFonts w:hint="eastAsia" w:ascii="仿宋" w:hAnsi="仿宋" w:eastAsia="仿宋" w:cs="仿宋"/>
          <w:color w:val="000000"/>
          <w:sz w:val="28"/>
          <w:szCs w:val="28"/>
          <w:highlight w:val="none"/>
          <w:lang w:val="en-US" w:eastAsia="zh-CN"/>
        </w:rPr>
        <w:t>需对识别出的风险制定风险防范对策。</w:t>
      </w:r>
    </w:p>
    <w:p w14:paraId="5E9B6BE5">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服务期内，投标人需实现远程网络维护，作为现场维护的补充。</w:t>
      </w:r>
    </w:p>
    <w:p w14:paraId="70F14A41">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③系统兼容要求：</w:t>
      </w:r>
      <w:r>
        <w:rPr>
          <w:rFonts w:hint="eastAsia" w:ascii="仿宋" w:hAnsi="仿宋" w:eastAsia="仿宋" w:cs="仿宋"/>
          <w:color w:val="000000"/>
          <w:sz w:val="28"/>
          <w:szCs w:val="28"/>
          <w:highlight w:val="none"/>
          <w:lang w:val="en-US" w:eastAsia="zh-CN"/>
        </w:rPr>
        <w:t>要求投标人本次所投系统与医院现有系统数据达到互联互通。如：HIS、EMR、PACS、LIS等等系统之间实现数据互联互通，信息共享，由此产生的对接费用应包含在报价中,以后医院新增系统需要对接接口的，中标方自行承担，不再收取医院费用，免费对接。</w:t>
      </w:r>
    </w:p>
    <w:p w14:paraId="7B00145D">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④后续服务要求：</w:t>
      </w:r>
      <w:r>
        <w:rPr>
          <w:rFonts w:hint="eastAsia" w:ascii="仿宋" w:hAnsi="仿宋" w:eastAsia="仿宋" w:cs="仿宋"/>
          <w:color w:val="000000"/>
          <w:sz w:val="28"/>
          <w:szCs w:val="28"/>
          <w:highlight w:val="none"/>
          <w:lang w:val="en-US" w:eastAsia="zh-CN"/>
        </w:rPr>
        <w:t>软件采用一次性购买模式，提供无期限免费维保及后续无偿服务；对于国家、省、市政府部门的政策性要求，以及院方提出的合理新增功能需求，均应提供免费升级与免费添加服务。</w:t>
      </w:r>
    </w:p>
    <w:p w14:paraId="73399375">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1" w:firstLineChars="100"/>
        <w:textAlignment w:val="auto"/>
        <w:rPr>
          <w:rFonts w:hint="eastAsia"/>
          <w:lang w:val="en-US" w:eastAsia="zh-CN"/>
        </w:rPr>
      </w:pPr>
      <w:r>
        <w:rPr>
          <w:rFonts w:hint="eastAsia" w:ascii="仿宋" w:hAnsi="仿宋" w:eastAsia="仿宋" w:cs="仿宋"/>
          <w:b/>
          <w:bCs/>
          <w:color w:val="000000"/>
          <w:sz w:val="28"/>
          <w:szCs w:val="28"/>
          <w:highlight w:val="none"/>
          <w:lang w:val="en-US" w:eastAsia="zh-CN"/>
        </w:rPr>
        <w:t>⑤医院所购追溯码软件与第三方平台如：</w:t>
      </w:r>
      <w:r>
        <w:rPr>
          <w:rFonts w:hint="eastAsia" w:ascii="仿宋" w:hAnsi="仿宋" w:eastAsia="仿宋" w:cs="仿宋"/>
          <w:color w:val="000000"/>
          <w:sz w:val="28"/>
          <w:szCs w:val="28"/>
          <w:highlight w:val="none"/>
          <w:lang w:val="en-US" w:eastAsia="zh-CN"/>
        </w:rPr>
        <w:t>“码上放心”或者其它平台对接时，目前数据免费使用，如果平台需要收费时，都由中标方承担，以后与院方无关。</w:t>
      </w: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A00BA"/>
    <w:rsid w:val="162B0FD3"/>
    <w:rsid w:val="45D5037D"/>
    <w:rsid w:val="46A77C72"/>
    <w:rsid w:val="52187956"/>
    <w:rsid w:val="653A42CD"/>
    <w:rsid w:val="6AC6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unhideWhenUsed/>
    <w:qFormat/>
    <w:uiPriority w:val="34"/>
    <w:pPr>
      <w:ind w:firstLine="420" w:firstLineChars="200"/>
    </w:pPr>
  </w:style>
  <w:style w:type="paragraph" w:customStyle="1" w:styleId="7">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8398</Words>
  <Characters>9044</Characters>
  <Lines>0</Lines>
  <Paragraphs>0</Paragraphs>
  <TotalTime>1</TotalTime>
  <ScaleCrop>false</ScaleCrop>
  <LinksUpToDate>false</LinksUpToDate>
  <CharactersWithSpaces>9874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2026-01-30T07:27:00Z</dcterms:created>
  <dc:creator>admin</dc:creator>
  <cp:lastModifiedBy>夏未凉</cp:lastModifiedBy>
  <dcterms:modified xsi:type="dcterms:W3CDTF">2026-03-10T06:57:01Z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eyJoZGlkIjoiNDlhNDFmYmYwNmZjOTZkNGIyZGI1ZWY1YWVlNDg2MjciLCJ1c2VySWQiOiI0NDQ1MjU3MTgifQ==</vt:lpwstr>
  </property>
  <property fmtid="{D5CDD505-2E9C-101B-9397-08002B2CF9AE}" pid="4" name="ICV">
    <vt:lpwstr>D77BF781F08E4B36A41E6C6280E5F306_12</vt:lpwstr>
  </property>
</Properties>
</file>