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87667">
      <w:pPr>
        <w:adjustRightInd w:val="0"/>
        <w:snapToGrid w:val="0"/>
        <w:spacing w:line="520" w:lineRule="exact"/>
        <w:ind w:firstLine="3080" w:firstLineChars="1100"/>
        <w:jc w:val="both"/>
        <w:rPr>
          <w:rFonts w:hint="eastAsia" w:ascii="黑体" w:hAnsi="黑体" w:eastAsia="黑体" w:cs="黑体"/>
          <w:b w:val="0"/>
          <w:bCs w:val="0"/>
          <w:sz w:val="28"/>
          <w:szCs w:val="28"/>
        </w:rPr>
      </w:pPr>
      <w:r>
        <w:rPr>
          <w:rFonts w:hint="eastAsia" w:ascii="黑体" w:hAnsi="黑体" w:eastAsia="黑体" w:cs="黑体"/>
          <w:b w:val="0"/>
          <w:bCs w:val="0"/>
          <w:sz w:val="28"/>
          <w:szCs w:val="28"/>
        </w:rPr>
        <w:t>项目需求</w:t>
      </w:r>
    </w:p>
    <w:p w14:paraId="0466B45C">
      <w:pPr>
        <w:pStyle w:val="5"/>
        <w:adjustRightInd/>
        <w:spacing w:line="440" w:lineRule="exact"/>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注：</w:t>
      </w:r>
    </w:p>
    <w:p w14:paraId="76118B48">
      <w:pPr>
        <w:spacing w:line="440" w:lineRule="exac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1、如本章内容与其他章节有冲突，以本章内容为准。</w:t>
      </w:r>
    </w:p>
    <w:p w14:paraId="4E677149">
      <w:pPr>
        <w:spacing w:line="440" w:lineRule="exac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2、如本章内容与国家法律法规相冲突的，以相关法律法规为准。</w:t>
      </w:r>
    </w:p>
    <w:p w14:paraId="3A86FE55">
      <w:pPr>
        <w:spacing w:line="440" w:lineRule="exac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3、如本章内容与国家、地方强制标准相冲突的，以强制标准为准。</w:t>
      </w:r>
    </w:p>
    <w:p w14:paraId="02600833">
      <w:pPr>
        <w:widowControl w:val="0"/>
        <w:numPr>
          <w:ilvl w:val="0"/>
          <w:numId w:val="0"/>
        </w:numPr>
        <w:bidi w:val="0"/>
        <w:jc w:val="both"/>
        <w:rPr>
          <w:rFonts w:hint="eastAsia" w:ascii="宋体" w:hAnsi="宋体" w:eastAsia="宋体" w:cs="宋体"/>
          <w:b w:val="0"/>
          <w:bCs w:val="0"/>
          <w:sz w:val="28"/>
          <w:szCs w:val="28"/>
          <w:lang w:val="en-US" w:eastAsia="zh-CN"/>
        </w:rPr>
      </w:pPr>
    </w:p>
    <w:p w14:paraId="37440AFF">
      <w:pPr>
        <w:pStyle w:val="2"/>
        <w:numPr>
          <w:ilvl w:val="0"/>
          <w:numId w:val="1"/>
        </w:numPr>
        <w:bidi w:val="0"/>
        <w:ind w:left="0" w:leftChars="0" w:firstLine="0" w:firstLineChars="0"/>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采购需求</w:t>
      </w:r>
    </w:p>
    <w:p w14:paraId="7F04ECD6">
      <w:pPr>
        <w:spacing w:line="360" w:lineRule="auto"/>
        <w:ind w:firstLine="560" w:firstLineChars="200"/>
        <w:jc w:val="left"/>
        <w:rPr>
          <w:rFonts w:hint="eastAsia" w:ascii="宋体" w:hAnsi="宋体" w:eastAsia="宋体" w:cs="宋体"/>
          <w:b w:val="0"/>
          <w:bCs w:val="0"/>
          <w:color w:val="0D0D0D"/>
          <w:sz w:val="28"/>
          <w:szCs w:val="28"/>
        </w:rPr>
      </w:pPr>
      <w:r>
        <w:rPr>
          <w:rFonts w:hint="eastAsia" w:ascii="宋体" w:hAnsi="宋体" w:eastAsia="宋体" w:cs="宋体"/>
          <w:b w:val="0"/>
          <w:bCs w:val="0"/>
          <w:color w:val="0D0D0D"/>
          <w:sz w:val="28"/>
          <w:szCs w:val="28"/>
          <w:lang w:val="en-US" w:eastAsia="zh-CN"/>
        </w:rPr>
        <w:t>1、现有接口维护及改造</w:t>
      </w:r>
      <w:r>
        <w:rPr>
          <w:rFonts w:hint="eastAsia" w:ascii="宋体" w:hAnsi="宋体" w:eastAsia="宋体" w:cs="宋体"/>
          <w:b w:val="0"/>
          <w:bCs w:val="0"/>
          <w:color w:val="0D0D0D"/>
          <w:sz w:val="28"/>
          <w:szCs w:val="28"/>
        </w:rPr>
        <w:t>：</w:t>
      </w:r>
    </w:p>
    <w:p w14:paraId="079A417A">
      <w:pPr>
        <w:widowControl/>
        <w:shd w:val="clear" w:color="auto" w:fill="FFFFFF"/>
        <w:spacing w:line="360" w:lineRule="atLeast"/>
        <w:ind w:firstLine="420" w:firstLineChars="0"/>
        <w:jc w:val="both"/>
        <w:textAlignment w:val="baseline"/>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供应商应承诺在中标质保期内对院内现有已对接信息化接口提供持续的维护及改造工作，包括但不限于HIS系统、电子病历系统、检验系统、影像系统及检验检查设备等，以及与外部医疗平台或部门的数据对接接口，如医保平台、县市级医疗协同平台等，具体见接口明细：</w:t>
      </w:r>
    </w:p>
    <w:tbl>
      <w:tblPr>
        <w:tblStyle w:val="3"/>
        <w:tblW w:w="829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
        <w:gridCol w:w="6123"/>
        <w:gridCol w:w="1397"/>
      </w:tblGrid>
      <w:tr w14:paraId="7F78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0F10E04B">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序号</w:t>
            </w:r>
          </w:p>
        </w:tc>
        <w:tc>
          <w:tcPr>
            <w:tcW w:w="6123" w:type="dxa"/>
            <w:tcBorders>
              <w:top w:val="single" w:color="000000" w:sz="8" w:space="0"/>
              <w:left w:val="single" w:color="000000" w:sz="8" w:space="0"/>
              <w:bottom w:val="single" w:color="000000" w:sz="8" w:space="0"/>
              <w:right w:val="single" w:color="000000" w:sz="8" w:space="0"/>
            </w:tcBorders>
            <w:noWrap w:val="0"/>
            <w:vAlign w:val="center"/>
          </w:tcPr>
          <w:p w14:paraId="343A4C07">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接口名称</w:t>
            </w:r>
          </w:p>
        </w:tc>
        <w:tc>
          <w:tcPr>
            <w:tcW w:w="1397" w:type="dxa"/>
            <w:tcBorders>
              <w:top w:val="single" w:color="000000" w:sz="8" w:space="0"/>
              <w:left w:val="single" w:color="000000" w:sz="8" w:space="0"/>
              <w:bottom w:val="single" w:color="000000" w:sz="8" w:space="0"/>
              <w:right w:val="single" w:color="000000" w:sz="8" w:space="0"/>
            </w:tcBorders>
            <w:noWrap w:val="0"/>
            <w:vAlign w:val="center"/>
          </w:tcPr>
          <w:p w14:paraId="49BDC7B6">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软硬件</w:t>
            </w:r>
          </w:p>
        </w:tc>
      </w:tr>
      <w:tr w14:paraId="4B4B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46CC5F9E">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p>
        </w:tc>
        <w:tc>
          <w:tcPr>
            <w:tcW w:w="6123" w:type="dxa"/>
            <w:tcBorders>
              <w:top w:val="single" w:color="000000" w:sz="8" w:space="0"/>
              <w:left w:val="single" w:color="000000" w:sz="8" w:space="0"/>
              <w:bottom w:val="single" w:color="000000" w:sz="8" w:space="0"/>
              <w:right w:val="single" w:color="000000" w:sz="8" w:space="0"/>
            </w:tcBorders>
            <w:noWrap w:val="0"/>
            <w:vAlign w:val="center"/>
          </w:tcPr>
          <w:p w14:paraId="26321C7F">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医保事前事中审核接口</w:t>
            </w:r>
          </w:p>
        </w:tc>
        <w:tc>
          <w:tcPr>
            <w:tcW w:w="1397" w:type="dxa"/>
            <w:tcBorders>
              <w:top w:val="single" w:color="000000" w:sz="8" w:space="0"/>
              <w:left w:val="single" w:color="000000" w:sz="8" w:space="0"/>
              <w:bottom w:val="single" w:color="000000" w:sz="8" w:space="0"/>
              <w:right w:val="single" w:color="000000" w:sz="8" w:space="0"/>
            </w:tcBorders>
            <w:noWrap w:val="0"/>
            <w:vAlign w:val="center"/>
          </w:tcPr>
          <w:p w14:paraId="3E85B200">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软件</w:t>
            </w:r>
          </w:p>
        </w:tc>
      </w:tr>
      <w:tr w14:paraId="1FB9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622E630C">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p>
        </w:tc>
        <w:tc>
          <w:tcPr>
            <w:tcW w:w="6123" w:type="dxa"/>
            <w:tcBorders>
              <w:top w:val="single" w:color="000000" w:sz="8" w:space="0"/>
              <w:left w:val="single" w:color="000000" w:sz="8" w:space="0"/>
              <w:bottom w:val="single" w:color="000000" w:sz="8" w:space="0"/>
              <w:right w:val="single" w:color="000000" w:sz="8" w:space="0"/>
            </w:tcBorders>
            <w:noWrap w:val="0"/>
            <w:vAlign w:val="center"/>
          </w:tcPr>
          <w:p w14:paraId="2B364BA6">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博思电子发票接口</w:t>
            </w:r>
          </w:p>
        </w:tc>
        <w:tc>
          <w:tcPr>
            <w:tcW w:w="1397" w:type="dxa"/>
            <w:tcBorders>
              <w:top w:val="single" w:color="000000" w:sz="8" w:space="0"/>
              <w:left w:val="single" w:color="000000" w:sz="8" w:space="0"/>
              <w:bottom w:val="single" w:color="000000" w:sz="8" w:space="0"/>
              <w:right w:val="single" w:color="000000" w:sz="8" w:space="0"/>
            </w:tcBorders>
            <w:noWrap w:val="0"/>
            <w:vAlign w:val="center"/>
          </w:tcPr>
          <w:p w14:paraId="1DEA67F1">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软件</w:t>
            </w:r>
          </w:p>
        </w:tc>
      </w:tr>
      <w:tr w14:paraId="5C6C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35B12DE6">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p>
        </w:tc>
        <w:tc>
          <w:tcPr>
            <w:tcW w:w="6123" w:type="dxa"/>
            <w:tcBorders>
              <w:top w:val="single" w:color="000000" w:sz="8" w:space="0"/>
              <w:left w:val="single" w:color="000000" w:sz="8" w:space="0"/>
              <w:bottom w:val="single" w:color="000000" w:sz="8" w:space="0"/>
              <w:right w:val="single" w:color="000000" w:sz="8" w:space="0"/>
            </w:tcBorders>
            <w:noWrap w:val="0"/>
            <w:vAlign w:val="center"/>
          </w:tcPr>
          <w:p w14:paraId="27853D36">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医保药品追溯码接口</w:t>
            </w:r>
          </w:p>
        </w:tc>
        <w:tc>
          <w:tcPr>
            <w:tcW w:w="1397" w:type="dxa"/>
            <w:tcBorders>
              <w:top w:val="single" w:color="000000" w:sz="8" w:space="0"/>
              <w:left w:val="single" w:color="000000" w:sz="8" w:space="0"/>
              <w:bottom w:val="single" w:color="000000" w:sz="8" w:space="0"/>
              <w:right w:val="single" w:color="000000" w:sz="8" w:space="0"/>
            </w:tcBorders>
            <w:noWrap w:val="0"/>
            <w:vAlign w:val="center"/>
          </w:tcPr>
          <w:p w14:paraId="49DA11E4">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软件</w:t>
            </w:r>
          </w:p>
        </w:tc>
      </w:tr>
      <w:tr w14:paraId="7AC7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5409258E">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4</w:t>
            </w:r>
          </w:p>
        </w:tc>
        <w:tc>
          <w:tcPr>
            <w:tcW w:w="6123" w:type="dxa"/>
            <w:tcBorders>
              <w:top w:val="single" w:color="000000" w:sz="8" w:space="0"/>
              <w:left w:val="single" w:color="000000" w:sz="8" w:space="0"/>
              <w:bottom w:val="single" w:color="000000" w:sz="8" w:space="0"/>
              <w:right w:val="single" w:color="000000" w:sz="8" w:space="0"/>
            </w:tcBorders>
            <w:noWrap w:val="0"/>
            <w:vAlign w:val="center"/>
          </w:tcPr>
          <w:p w14:paraId="290A9FE1">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铜陵市DRG平台接口</w:t>
            </w:r>
          </w:p>
        </w:tc>
        <w:tc>
          <w:tcPr>
            <w:tcW w:w="1397" w:type="dxa"/>
            <w:tcBorders>
              <w:top w:val="single" w:color="000000" w:sz="8" w:space="0"/>
              <w:left w:val="single" w:color="000000" w:sz="8" w:space="0"/>
              <w:bottom w:val="single" w:color="000000" w:sz="8" w:space="0"/>
              <w:right w:val="single" w:color="000000" w:sz="8" w:space="0"/>
            </w:tcBorders>
            <w:noWrap w:val="0"/>
            <w:vAlign w:val="center"/>
          </w:tcPr>
          <w:p w14:paraId="162C7C90">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软件</w:t>
            </w:r>
          </w:p>
        </w:tc>
      </w:tr>
      <w:tr w14:paraId="498F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63AFA7C4">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5</w:t>
            </w:r>
          </w:p>
        </w:tc>
        <w:tc>
          <w:tcPr>
            <w:tcW w:w="6123" w:type="dxa"/>
            <w:tcBorders>
              <w:top w:val="single" w:color="000000" w:sz="8" w:space="0"/>
              <w:left w:val="single" w:color="000000" w:sz="8" w:space="0"/>
              <w:bottom w:val="single" w:color="000000" w:sz="8" w:space="0"/>
              <w:right w:val="single" w:color="000000" w:sz="8" w:space="0"/>
            </w:tcBorders>
            <w:noWrap w:val="0"/>
            <w:vAlign w:val="center"/>
          </w:tcPr>
          <w:p w14:paraId="5215F178">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铜陵市电子健康卡接口</w:t>
            </w:r>
          </w:p>
        </w:tc>
        <w:tc>
          <w:tcPr>
            <w:tcW w:w="1397" w:type="dxa"/>
            <w:tcBorders>
              <w:top w:val="single" w:color="000000" w:sz="8" w:space="0"/>
              <w:left w:val="single" w:color="000000" w:sz="8" w:space="0"/>
              <w:bottom w:val="single" w:color="000000" w:sz="8" w:space="0"/>
              <w:right w:val="single" w:color="000000" w:sz="8" w:space="0"/>
            </w:tcBorders>
            <w:noWrap w:val="0"/>
            <w:vAlign w:val="center"/>
          </w:tcPr>
          <w:p w14:paraId="7FC1BC25">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软件</w:t>
            </w:r>
          </w:p>
        </w:tc>
      </w:tr>
      <w:tr w14:paraId="3C5D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7BADEDCD">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6</w:t>
            </w:r>
          </w:p>
        </w:tc>
        <w:tc>
          <w:tcPr>
            <w:tcW w:w="6123" w:type="dxa"/>
            <w:tcBorders>
              <w:top w:val="single" w:color="000000" w:sz="8" w:space="0"/>
              <w:left w:val="single" w:color="000000" w:sz="8" w:space="0"/>
              <w:bottom w:val="single" w:color="000000" w:sz="8" w:space="0"/>
              <w:right w:val="single" w:color="000000" w:sz="8" w:space="0"/>
            </w:tcBorders>
            <w:noWrap w:val="0"/>
            <w:vAlign w:val="center"/>
          </w:tcPr>
          <w:p w14:paraId="003C2124">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医保电子处方流转接口</w:t>
            </w:r>
          </w:p>
        </w:tc>
        <w:tc>
          <w:tcPr>
            <w:tcW w:w="1397" w:type="dxa"/>
            <w:tcBorders>
              <w:top w:val="single" w:color="000000" w:sz="8" w:space="0"/>
              <w:left w:val="single" w:color="000000" w:sz="8" w:space="0"/>
              <w:bottom w:val="single" w:color="000000" w:sz="8" w:space="0"/>
              <w:right w:val="single" w:color="000000" w:sz="8" w:space="0"/>
            </w:tcBorders>
            <w:noWrap w:val="0"/>
            <w:vAlign w:val="center"/>
          </w:tcPr>
          <w:p w14:paraId="1B233041">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软件</w:t>
            </w:r>
          </w:p>
        </w:tc>
      </w:tr>
      <w:tr w14:paraId="5761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559AE4EB">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7</w:t>
            </w:r>
          </w:p>
        </w:tc>
        <w:tc>
          <w:tcPr>
            <w:tcW w:w="6123" w:type="dxa"/>
            <w:tcBorders>
              <w:top w:val="single" w:color="000000" w:sz="8" w:space="0"/>
              <w:left w:val="single" w:color="000000" w:sz="8" w:space="0"/>
              <w:bottom w:val="single" w:color="000000" w:sz="8" w:space="0"/>
              <w:right w:val="single" w:color="000000" w:sz="8" w:space="0"/>
            </w:tcBorders>
            <w:noWrap w:val="0"/>
            <w:vAlign w:val="center"/>
          </w:tcPr>
          <w:p w14:paraId="73FEBDFE">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检验检查互认数据上传</w:t>
            </w:r>
          </w:p>
        </w:tc>
        <w:tc>
          <w:tcPr>
            <w:tcW w:w="1397" w:type="dxa"/>
            <w:tcBorders>
              <w:top w:val="single" w:color="000000" w:sz="8" w:space="0"/>
              <w:left w:val="single" w:color="000000" w:sz="8" w:space="0"/>
              <w:bottom w:val="single" w:color="000000" w:sz="8" w:space="0"/>
              <w:right w:val="single" w:color="000000" w:sz="8" w:space="0"/>
            </w:tcBorders>
            <w:noWrap w:val="0"/>
            <w:vAlign w:val="center"/>
          </w:tcPr>
          <w:p w14:paraId="745F611B">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软件</w:t>
            </w:r>
          </w:p>
        </w:tc>
      </w:tr>
      <w:tr w14:paraId="5761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7F66077C">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8</w:t>
            </w:r>
          </w:p>
        </w:tc>
        <w:tc>
          <w:tcPr>
            <w:tcW w:w="6123" w:type="dxa"/>
            <w:tcBorders>
              <w:top w:val="single" w:color="000000" w:sz="8" w:space="0"/>
              <w:left w:val="single" w:color="000000" w:sz="8" w:space="0"/>
              <w:bottom w:val="single" w:color="000000" w:sz="8" w:space="0"/>
              <w:right w:val="single" w:color="000000" w:sz="8" w:space="0"/>
            </w:tcBorders>
            <w:noWrap w:val="0"/>
            <w:vAlign w:val="center"/>
          </w:tcPr>
          <w:p w14:paraId="0DB125D3">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医保结算清单上传接口</w:t>
            </w:r>
          </w:p>
        </w:tc>
        <w:tc>
          <w:tcPr>
            <w:tcW w:w="1397" w:type="dxa"/>
            <w:tcBorders>
              <w:top w:val="single" w:color="000000" w:sz="8" w:space="0"/>
              <w:left w:val="single" w:color="000000" w:sz="8" w:space="0"/>
              <w:bottom w:val="single" w:color="000000" w:sz="8" w:space="0"/>
              <w:right w:val="single" w:color="000000" w:sz="8" w:space="0"/>
            </w:tcBorders>
            <w:noWrap w:val="0"/>
            <w:vAlign w:val="center"/>
          </w:tcPr>
          <w:p w14:paraId="13FBA559">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软件</w:t>
            </w:r>
          </w:p>
        </w:tc>
      </w:tr>
      <w:tr w14:paraId="0830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599F79E0">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9</w:t>
            </w:r>
          </w:p>
        </w:tc>
        <w:tc>
          <w:tcPr>
            <w:tcW w:w="6123" w:type="dxa"/>
            <w:tcBorders>
              <w:top w:val="single" w:color="000000" w:sz="8" w:space="0"/>
              <w:left w:val="single" w:color="000000" w:sz="8" w:space="0"/>
              <w:bottom w:val="single" w:color="000000" w:sz="8" w:space="0"/>
              <w:right w:val="single" w:color="000000" w:sz="8" w:space="0"/>
            </w:tcBorders>
            <w:noWrap w:val="0"/>
            <w:vAlign w:val="center"/>
          </w:tcPr>
          <w:p w14:paraId="29FE6237">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医保先诊疗后付费接口改造</w:t>
            </w:r>
          </w:p>
        </w:tc>
        <w:tc>
          <w:tcPr>
            <w:tcW w:w="1397" w:type="dxa"/>
            <w:tcBorders>
              <w:top w:val="single" w:color="000000" w:sz="8" w:space="0"/>
              <w:left w:val="single" w:color="000000" w:sz="8" w:space="0"/>
              <w:bottom w:val="single" w:color="000000" w:sz="8" w:space="0"/>
              <w:right w:val="single" w:color="000000" w:sz="8" w:space="0"/>
            </w:tcBorders>
            <w:noWrap w:val="0"/>
            <w:vAlign w:val="center"/>
          </w:tcPr>
          <w:p w14:paraId="65444C0B">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软件</w:t>
            </w:r>
          </w:p>
        </w:tc>
      </w:tr>
      <w:tr w14:paraId="7579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1AC12AA1">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10</w:t>
            </w:r>
          </w:p>
        </w:tc>
        <w:tc>
          <w:tcPr>
            <w:tcW w:w="6123" w:type="dxa"/>
            <w:tcBorders>
              <w:top w:val="single" w:color="000000" w:sz="8" w:space="0"/>
              <w:left w:val="single" w:color="000000" w:sz="8" w:space="0"/>
              <w:bottom w:val="single" w:color="000000" w:sz="8" w:space="0"/>
              <w:right w:val="single" w:color="000000" w:sz="8" w:space="0"/>
            </w:tcBorders>
            <w:noWrap w:val="0"/>
            <w:vAlign w:val="center"/>
          </w:tcPr>
          <w:p w14:paraId="36089EAA">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门诊特慢病结算清单上传</w:t>
            </w:r>
          </w:p>
        </w:tc>
        <w:tc>
          <w:tcPr>
            <w:tcW w:w="1397" w:type="dxa"/>
            <w:tcBorders>
              <w:top w:val="single" w:color="000000" w:sz="8" w:space="0"/>
              <w:left w:val="single" w:color="000000" w:sz="8" w:space="0"/>
              <w:bottom w:val="single" w:color="000000" w:sz="8" w:space="0"/>
              <w:right w:val="single" w:color="000000" w:sz="8" w:space="0"/>
            </w:tcBorders>
            <w:noWrap w:val="0"/>
            <w:vAlign w:val="center"/>
          </w:tcPr>
          <w:p w14:paraId="69392EC6">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软件</w:t>
            </w:r>
          </w:p>
        </w:tc>
      </w:tr>
      <w:tr w14:paraId="44AA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3F63C178">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11</w:t>
            </w:r>
          </w:p>
        </w:tc>
        <w:tc>
          <w:tcPr>
            <w:tcW w:w="6123" w:type="dxa"/>
            <w:tcBorders>
              <w:top w:val="single" w:color="000000" w:sz="8" w:space="0"/>
              <w:left w:val="single" w:color="000000" w:sz="8" w:space="0"/>
              <w:bottom w:val="single" w:color="000000" w:sz="8" w:space="0"/>
              <w:right w:val="single" w:color="000000" w:sz="8" w:space="0"/>
            </w:tcBorders>
            <w:noWrap w:val="0"/>
            <w:vAlign w:val="center"/>
          </w:tcPr>
          <w:p w14:paraId="778B9388">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国家传染病平台接口</w:t>
            </w:r>
          </w:p>
        </w:tc>
        <w:tc>
          <w:tcPr>
            <w:tcW w:w="1397" w:type="dxa"/>
            <w:tcBorders>
              <w:top w:val="single" w:color="000000" w:sz="8" w:space="0"/>
              <w:left w:val="single" w:color="000000" w:sz="8" w:space="0"/>
              <w:bottom w:val="single" w:color="000000" w:sz="8" w:space="0"/>
              <w:right w:val="single" w:color="000000" w:sz="8" w:space="0"/>
            </w:tcBorders>
            <w:noWrap w:val="0"/>
            <w:vAlign w:val="center"/>
          </w:tcPr>
          <w:p w14:paraId="47BD8E8B">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软件</w:t>
            </w:r>
          </w:p>
        </w:tc>
      </w:tr>
      <w:tr w14:paraId="714B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02455D4D">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12</w:t>
            </w:r>
          </w:p>
        </w:tc>
        <w:tc>
          <w:tcPr>
            <w:tcW w:w="6123" w:type="dxa"/>
            <w:tcBorders>
              <w:top w:val="single" w:color="000000" w:sz="8" w:space="0"/>
              <w:left w:val="single" w:color="000000" w:sz="8" w:space="0"/>
              <w:bottom w:val="single" w:color="000000" w:sz="8" w:space="0"/>
              <w:right w:val="single" w:color="000000" w:sz="8" w:space="0"/>
            </w:tcBorders>
            <w:noWrap w:val="0"/>
            <w:vAlign w:val="center"/>
          </w:tcPr>
          <w:p w14:paraId="325F2089">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食源性疾病上传</w:t>
            </w:r>
          </w:p>
        </w:tc>
        <w:tc>
          <w:tcPr>
            <w:tcW w:w="1397" w:type="dxa"/>
            <w:tcBorders>
              <w:top w:val="single" w:color="000000" w:sz="8" w:space="0"/>
              <w:left w:val="single" w:color="000000" w:sz="8" w:space="0"/>
              <w:bottom w:val="single" w:color="000000" w:sz="8" w:space="0"/>
              <w:right w:val="single" w:color="000000" w:sz="8" w:space="0"/>
            </w:tcBorders>
            <w:noWrap w:val="0"/>
            <w:vAlign w:val="center"/>
          </w:tcPr>
          <w:p w14:paraId="6DE78318">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软件</w:t>
            </w:r>
          </w:p>
        </w:tc>
      </w:tr>
      <w:tr w14:paraId="2940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7E930EB8">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13</w:t>
            </w:r>
          </w:p>
        </w:tc>
        <w:tc>
          <w:tcPr>
            <w:tcW w:w="6123" w:type="dxa"/>
            <w:tcBorders>
              <w:top w:val="single" w:color="000000" w:sz="8" w:space="0"/>
              <w:left w:val="single" w:color="000000" w:sz="8" w:space="0"/>
              <w:bottom w:val="single" w:color="000000" w:sz="8" w:space="0"/>
              <w:right w:val="single" w:color="000000" w:sz="8" w:space="0"/>
            </w:tcBorders>
            <w:noWrap w:val="0"/>
            <w:vAlign w:val="center"/>
          </w:tcPr>
          <w:p w14:paraId="430C561A">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化验室q20化验仪器接口、化验室CS5100接口、</w:t>
            </w:r>
            <w:r>
              <w:rPr>
                <w:rFonts w:hint="eastAsia" w:ascii="宋体" w:hAnsi="宋体" w:eastAsia="宋体" w:cs="宋体"/>
                <w:b w:val="0"/>
                <w:bCs w:val="0"/>
                <w:sz w:val="28"/>
                <w:szCs w:val="28"/>
                <w:lang w:val="en-US" w:eastAsia="zh-CN"/>
              </w:rPr>
              <w:br w:type="textWrapping"/>
            </w:r>
            <w:r>
              <w:rPr>
                <w:rFonts w:hint="eastAsia" w:ascii="宋体" w:hAnsi="宋体" w:eastAsia="宋体" w:cs="宋体"/>
                <w:b w:val="0"/>
                <w:bCs w:val="0"/>
                <w:sz w:val="28"/>
                <w:szCs w:val="28"/>
                <w:lang w:val="en-US" w:eastAsia="zh-CN"/>
              </w:rPr>
              <w:t>化验室国赛生物设备接口、化验室雅培血气设备接口</w:t>
            </w:r>
          </w:p>
        </w:tc>
        <w:tc>
          <w:tcPr>
            <w:tcW w:w="1397" w:type="dxa"/>
            <w:tcBorders>
              <w:top w:val="single" w:color="000000" w:sz="8" w:space="0"/>
              <w:left w:val="single" w:color="000000" w:sz="8" w:space="0"/>
              <w:bottom w:val="single" w:color="000000" w:sz="8" w:space="0"/>
              <w:right w:val="single" w:color="000000" w:sz="8" w:space="0"/>
            </w:tcBorders>
            <w:noWrap w:val="0"/>
            <w:vAlign w:val="center"/>
          </w:tcPr>
          <w:p w14:paraId="6A6A89D0">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硬件</w:t>
            </w:r>
          </w:p>
        </w:tc>
      </w:tr>
      <w:tr w14:paraId="5CF3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778" w:type="dxa"/>
            <w:tcBorders>
              <w:top w:val="single" w:color="000000" w:sz="8" w:space="0"/>
              <w:left w:val="single" w:color="000000" w:sz="8" w:space="0"/>
              <w:bottom w:val="single" w:color="000000" w:sz="8" w:space="0"/>
              <w:right w:val="single" w:color="000000" w:sz="8" w:space="0"/>
            </w:tcBorders>
            <w:noWrap w:val="0"/>
            <w:vAlign w:val="center"/>
          </w:tcPr>
          <w:p w14:paraId="4408C5CE">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合计</w:t>
            </w:r>
          </w:p>
        </w:tc>
        <w:tc>
          <w:tcPr>
            <w:tcW w:w="7520" w:type="dxa"/>
            <w:gridSpan w:val="2"/>
            <w:tcBorders>
              <w:top w:val="single" w:color="000000" w:sz="8" w:space="0"/>
              <w:left w:val="single" w:color="000000" w:sz="8" w:space="0"/>
              <w:bottom w:val="single" w:color="000000" w:sz="8" w:space="0"/>
              <w:right w:val="single" w:color="000000" w:sz="8" w:space="0"/>
            </w:tcBorders>
            <w:noWrap w:val="0"/>
            <w:vAlign w:val="center"/>
          </w:tcPr>
          <w:p w14:paraId="38379885">
            <w:pPr>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以上所有项目控制价不超过贰拾捌万元整（28万元）</w:t>
            </w:r>
          </w:p>
        </w:tc>
      </w:tr>
    </w:tbl>
    <w:p w14:paraId="67BE6458">
      <w:pPr>
        <w:rPr>
          <w:rFonts w:hint="eastAsia" w:ascii="宋体" w:hAnsi="宋体" w:eastAsia="宋体" w:cs="宋体"/>
          <w:b w:val="0"/>
          <w:bCs w:val="0"/>
          <w:sz w:val="28"/>
          <w:szCs w:val="28"/>
          <w:lang w:val="en-US" w:eastAsia="zh-CN"/>
        </w:rPr>
      </w:pPr>
    </w:p>
    <w:p w14:paraId="62D22F53">
      <w:pPr>
        <w:numPr>
          <w:ilvl w:val="0"/>
          <w:numId w:val="0"/>
        </w:numPr>
        <w:spacing w:line="360" w:lineRule="auto"/>
        <w:ind w:firstLine="560" w:firstLineChars="200"/>
        <w:jc w:val="left"/>
        <w:rPr>
          <w:rFonts w:hint="eastAsia" w:ascii="宋体" w:hAnsi="宋体" w:eastAsia="宋体" w:cs="宋体"/>
          <w:b w:val="0"/>
          <w:bCs w:val="0"/>
          <w:color w:val="0D0D0D"/>
          <w:sz w:val="28"/>
          <w:szCs w:val="28"/>
        </w:rPr>
      </w:pPr>
      <w:r>
        <w:rPr>
          <w:rFonts w:hint="eastAsia" w:ascii="宋体" w:hAnsi="宋体" w:eastAsia="宋体" w:cs="宋体"/>
          <w:b w:val="0"/>
          <w:bCs w:val="0"/>
          <w:color w:val="0D0D0D"/>
          <w:sz w:val="28"/>
          <w:szCs w:val="28"/>
          <w:lang w:val="en-US" w:eastAsia="zh-CN"/>
        </w:rPr>
        <w:t>2、院内新增接口</w:t>
      </w:r>
      <w:r>
        <w:rPr>
          <w:rFonts w:hint="eastAsia" w:ascii="宋体" w:hAnsi="宋体" w:eastAsia="宋体" w:cs="宋体"/>
          <w:b w:val="0"/>
          <w:bCs w:val="0"/>
          <w:color w:val="0D0D0D"/>
          <w:sz w:val="28"/>
          <w:szCs w:val="28"/>
        </w:rPr>
        <w:t>：</w:t>
      </w:r>
    </w:p>
    <w:p w14:paraId="7DAA7E5F">
      <w:pPr>
        <w:spacing w:line="360" w:lineRule="auto"/>
        <w:ind w:firstLine="420" w:firstLineChars="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随着医院信息化建设的发展、业务系统之间的互联互通需求以及政策类要求等院内新增接口，供应商应承诺后续院内新增国家政策软件类接口收费不得高于2万、硬件类接口收费不得高于1万。</w:t>
      </w:r>
    </w:p>
    <w:p w14:paraId="31C736D7">
      <w:pPr>
        <w:spacing w:line="360" w:lineRule="auto"/>
        <w:ind w:firstLine="420" w:firstLineChars="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注：软件同一系统接口新增加功能不得再次收费；</w:t>
      </w:r>
    </w:p>
    <w:p w14:paraId="1665DF76">
      <w:pPr>
        <w:spacing w:line="360" w:lineRule="auto"/>
        <w:ind w:firstLine="840" w:firstLineChars="3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硬件同一产品型号相同，增加设备台数不得再次收费。</w:t>
      </w:r>
    </w:p>
    <w:p w14:paraId="2E89EC40">
      <w:pPr>
        <w:numPr>
          <w:ilvl w:val="0"/>
          <w:numId w:val="0"/>
        </w:numPr>
        <w:spacing w:line="360" w:lineRule="auto"/>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3、技术能力要求</w:t>
      </w:r>
    </w:p>
    <w:p w14:paraId="0652F1D6">
      <w:pPr>
        <w:numPr>
          <w:ilvl w:val="0"/>
          <w:numId w:val="0"/>
        </w:numPr>
        <w:spacing w:line="360" w:lineRule="auto"/>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厂家要熟悉医院业务流程，有丰富的HIS接口开发经验，能根据提供的接口规范文档，接口规范等，在规定时间内完成相应接口的部署、调试和维护工作，确保接口符合标准和规范，能实现HIS系统与其他系统（如医保系统、影像平台等等）的数据交互、共享和协同工作，保证数据准确、及时传输。此外，还需具备良好的技术支持能力，能解决接口开发、调试及运行过程中出现的技术问题,保障系统稳定运行。</w:t>
      </w:r>
    </w:p>
    <w:p w14:paraId="29C2DF48">
      <w:pPr>
        <w:spacing w:line="360" w:lineRule="auto"/>
        <w:ind w:firstLine="420" w:firstLineChars="0"/>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二、服务与保障要求</w:t>
      </w:r>
    </w:p>
    <w:p w14:paraId="0049C5E3">
      <w:pPr>
        <w:numPr>
          <w:ilvl w:val="0"/>
          <w:numId w:val="0"/>
        </w:numPr>
        <w:spacing w:line="360" w:lineRule="auto"/>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应提供完善的售后维护服务，如在项目验收后若接口文档更新，能免费升级接口，免费填加接口中，医院需要的统计报表；免费根据国家、省、市、县接口要求，及时增加新的功能（如医保系统、影像平台等等）。</w:t>
      </w:r>
    </w:p>
    <w:p w14:paraId="3243F039">
      <w:pPr>
        <w:spacing w:line="360" w:lineRule="auto"/>
        <w:ind w:firstLine="420" w:firstLineChars="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2、培训服务：为医院操作人员、技术人员提供针对性培训，确保熟练使用接口功能。</w:t>
      </w:r>
    </w:p>
    <w:p w14:paraId="58BCBB5D">
      <w:pPr>
        <w:spacing w:line="360" w:lineRule="auto"/>
        <w:ind w:firstLine="420" w:firstLineChars="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3、运维保障：需有专业的技术服务团队，可及时响应医院需求，包括7×24小时技术支持、故障响应（如2小时内响应，4小时内解决）、</w:t>
      </w:r>
      <w:r>
        <w:rPr>
          <w:rFonts w:hint="eastAsia" w:ascii="宋体" w:hAnsi="宋体" w:eastAsia="宋体" w:cs="宋体"/>
          <w:b w:val="0"/>
          <w:bCs w:val="0"/>
          <w:sz w:val="28"/>
          <w:szCs w:val="28"/>
          <w:highlight w:val="none"/>
        </w:rPr>
        <w:t>包括提供远程支援、电话咨询和现场技术处理等服务,</w:t>
      </w:r>
      <w:r>
        <w:rPr>
          <w:rFonts w:hint="eastAsia" w:ascii="宋体" w:hAnsi="宋体" w:eastAsia="宋体" w:cs="宋体"/>
          <w:b w:val="0"/>
          <w:bCs w:val="0"/>
          <w:sz w:val="28"/>
          <w:szCs w:val="28"/>
          <w:lang w:val="en-US" w:eastAsia="zh-CN"/>
        </w:rPr>
        <w:t>定期系统巡检等。</w:t>
      </w:r>
    </w:p>
    <w:p w14:paraId="4051485C">
      <w:pPr>
        <w:numPr>
          <w:ilvl w:val="1"/>
          <w:numId w:val="0"/>
        </w:numPr>
        <w:tabs>
          <w:tab w:val="left" w:pos="2847"/>
        </w:tabs>
        <w:spacing w:line="336" w:lineRule="auto"/>
        <w:ind w:firstLine="560" w:firstLineChars="2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4、</w:t>
      </w:r>
      <w:r>
        <w:rPr>
          <w:rFonts w:hint="eastAsia" w:ascii="宋体" w:hAnsi="宋体" w:eastAsia="宋体" w:cs="宋体"/>
          <w:b w:val="0"/>
          <w:bCs w:val="0"/>
          <w:color w:val="000000"/>
          <w:sz w:val="28"/>
          <w:szCs w:val="28"/>
        </w:rPr>
        <w:t>交货期</w:t>
      </w:r>
      <w:r>
        <w:rPr>
          <w:rFonts w:hint="eastAsia" w:ascii="宋体" w:hAnsi="宋体" w:eastAsia="宋体" w:cs="宋体"/>
          <w:b w:val="0"/>
          <w:bCs w:val="0"/>
          <w:color w:val="000000"/>
          <w:sz w:val="28"/>
          <w:szCs w:val="28"/>
        </w:rPr>
        <w:t>：合同签订后</w:t>
      </w:r>
      <w:r>
        <w:rPr>
          <w:rFonts w:hint="eastAsia" w:ascii="宋体" w:hAnsi="宋体" w:eastAsia="宋体" w:cs="宋体"/>
          <w:b w:val="0"/>
          <w:bCs w:val="0"/>
          <w:color w:val="000000"/>
          <w:sz w:val="28"/>
          <w:szCs w:val="28"/>
          <w:lang w:val="en-US" w:eastAsia="zh-CN"/>
        </w:rPr>
        <w:t>30日内完成</w:t>
      </w:r>
    </w:p>
    <w:p w14:paraId="2F3ADCB9">
      <w:pPr>
        <w:numPr>
          <w:ilvl w:val="1"/>
          <w:numId w:val="0"/>
        </w:numPr>
        <w:tabs>
          <w:tab w:val="left" w:pos="2847"/>
        </w:tabs>
        <w:spacing w:line="336" w:lineRule="auto"/>
        <w:ind w:left="313" w:leftChars="149" w:firstLine="560" w:firstLineChars="200"/>
        <w:rPr>
          <w:rFonts w:hint="eastAsia" w:ascii="宋体" w:hAnsi="宋体" w:eastAsia="宋体" w:cs="宋体"/>
          <w:b w:val="0"/>
          <w:bCs w:val="0"/>
          <w:color w:val="000000"/>
          <w:sz w:val="28"/>
          <w:szCs w:val="28"/>
          <w:u w:val="single"/>
        </w:rPr>
      </w:pPr>
      <w:r>
        <w:rPr>
          <w:rFonts w:hint="eastAsia" w:ascii="宋体" w:hAnsi="宋体" w:eastAsia="宋体" w:cs="宋体"/>
          <w:b w:val="0"/>
          <w:bCs w:val="0"/>
          <w:color w:val="000000"/>
          <w:sz w:val="28"/>
          <w:szCs w:val="28"/>
        </w:rPr>
        <w:t>交货地点：供应至</w:t>
      </w:r>
      <w:r>
        <w:rPr>
          <w:rFonts w:hint="eastAsia" w:ascii="宋体" w:hAnsi="宋体" w:eastAsia="宋体" w:cs="宋体"/>
          <w:b w:val="0"/>
          <w:bCs w:val="0"/>
          <w:color w:val="000000"/>
          <w:sz w:val="28"/>
          <w:szCs w:val="28"/>
          <w:lang w:eastAsia="zh-CN"/>
        </w:rPr>
        <w:t>采购人</w:t>
      </w:r>
      <w:r>
        <w:rPr>
          <w:rFonts w:hint="eastAsia" w:ascii="宋体" w:hAnsi="宋体" w:eastAsia="宋体" w:cs="宋体"/>
          <w:b w:val="0"/>
          <w:bCs w:val="0"/>
          <w:color w:val="000000"/>
          <w:sz w:val="28"/>
          <w:szCs w:val="28"/>
        </w:rPr>
        <w:t>指定地点 。</w:t>
      </w:r>
    </w:p>
    <w:p w14:paraId="6AC8CEAB">
      <w:pPr>
        <w:numPr>
          <w:ilvl w:val="1"/>
          <w:numId w:val="0"/>
        </w:numPr>
        <w:tabs>
          <w:tab w:val="left" w:pos="2847"/>
          <w:tab w:val="left" w:pos="7545"/>
        </w:tabs>
        <w:spacing w:line="336" w:lineRule="auto"/>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5、</w:t>
      </w:r>
      <w:r>
        <w:rPr>
          <w:rFonts w:hint="eastAsia" w:ascii="宋体" w:hAnsi="宋体" w:eastAsia="宋体" w:cs="宋体"/>
          <w:b w:val="0"/>
          <w:bCs w:val="0"/>
          <w:color w:val="000000"/>
          <w:sz w:val="28"/>
          <w:szCs w:val="28"/>
        </w:rPr>
        <w:t>验收</w:t>
      </w:r>
      <w:r>
        <w:rPr>
          <w:rFonts w:hint="eastAsia" w:ascii="宋体" w:hAnsi="宋体" w:eastAsia="宋体" w:cs="宋体"/>
          <w:b w:val="0"/>
          <w:bCs w:val="0"/>
          <w:color w:val="000000"/>
          <w:sz w:val="28"/>
          <w:szCs w:val="28"/>
        </w:rPr>
        <w:t>：按照国家规定标准验收</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在交货时，</w:t>
      </w:r>
      <w:r>
        <w:rPr>
          <w:rFonts w:hint="eastAsia" w:ascii="宋体" w:hAnsi="宋体" w:eastAsia="宋体" w:cs="宋体"/>
          <w:b w:val="0"/>
          <w:bCs w:val="0"/>
          <w:color w:val="000000"/>
          <w:sz w:val="28"/>
          <w:szCs w:val="28"/>
          <w:lang w:eastAsia="zh-CN"/>
        </w:rPr>
        <w:t>成交人</w:t>
      </w:r>
      <w:r>
        <w:rPr>
          <w:rFonts w:hint="eastAsia" w:ascii="宋体" w:hAnsi="宋体" w:eastAsia="宋体" w:cs="宋体"/>
          <w:b w:val="0"/>
          <w:bCs w:val="0"/>
          <w:color w:val="000000"/>
          <w:sz w:val="28"/>
          <w:szCs w:val="28"/>
        </w:rPr>
        <w:t>应配合买方对标的物的质量、规格、性能、数量等进行详细而全面的检验，并出具一份合格检验证明，合格检验证明作为验收的依据，但不能作为有关标的物质量、规格、数量或性能的最终检验结果。</w:t>
      </w:r>
    </w:p>
    <w:p w14:paraId="44BB1319">
      <w:pPr>
        <w:spacing w:line="336" w:lineRule="auto"/>
        <w:ind w:firstLine="560" w:firstLineChars="200"/>
        <w:rPr>
          <w:rFonts w:hint="eastAsia" w:ascii="宋体" w:hAnsi="宋体" w:eastAsia="宋体" w:cs="宋体"/>
          <w:b w:val="0"/>
          <w:bCs w:val="0"/>
          <w:color w:val="000000"/>
          <w:sz w:val="28"/>
          <w:szCs w:val="28"/>
          <w:lang w:val="en-US"/>
        </w:rPr>
      </w:pPr>
      <w:bookmarkStart w:id="0" w:name="_GoBack"/>
      <w:bookmarkEnd w:id="0"/>
      <w:r>
        <w:rPr>
          <w:rFonts w:hint="eastAsia" w:ascii="宋体" w:hAnsi="宋体" w:eastAsia="宋体" w:cs="宋体"/>
          <w:b w:val="0"/>
          <w:bCs w:val="0"/>
          <w:color w:val="000000"/>
          <w:sz w:val="28"/>
          <w:szCs w:val="28"/>
          <w:lang w:val="en-US" w:eastAsia="zh-CN"/>
        </w:rPr>
        <w:t>6、</w:t>
      </w:r>
      <w:r>
        <w:rPr>
          <w:rFonts w:hint="eastAsia" w:ascii="宋体" w:hAnsi="宋体" w:eastAsia="宋体" w:cs="宋体"/>
          <w:b w:val="0"/>
          <w:bCs w:val="0"/>
          <w:color w:val="000000"/>
          <w:sz w:val="28"/>
          <w:szCs w:val="28"/>
        </w:rPr>
        <w:t>付款方式</w:t>
      </w:r>
      <w:r>
        <w:rPr>
          <w:rFonts w:hint="eastAsia" w:ascii="宋体" w:hAnsi="宋体" w:eastAsia="宋体" w:cs="宋体"/>
          <w:b w:val="0"/>
          <w:bCs w:val="0"/>
          <w:color w:val="000000"/>
          <w:sz w:val="28"/>
          <w:szCs w:val="28"/>
        </w:rPr>
        <w:t>：</w:t>
      </w:r>
      <w:r>
        <w:rPr>
          <w:rFonts w:hint="eastAsia" w:ascii="宋体" w:hAnsi="宋体" w:eastAsia="宋体" w:cs="宋体"/>
          <w:b w:val="0"/>
          <w:bCs w:val="0"/>
          <w:color w:val="000000"/>
          <w:sz w:val="28"/>
          <w:szCs w:val="28"/>
          <w:lang w:val="en-US" w:eastAsia="zh-CN"/>
        </w:rPr>
        <w:t>验收合格后，凭有效的发票30日内付款至合同价的100%.</w:t>
      </w:r>
    </w:p>
    <w:p w14:paraId="760F7513">
      <w:pPr>
        <w:rPr>
          <w:rFonts w:hint="eastAsia" w:ascii="宋体" w:hAnsi="宋体" w:eastAsia="宋体" w:cs="宋体"/>
          <w:b w:val="0"/>
          <w:bCs w:val="0"/>
          <w:sz w:val="28"/>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99D97"/>
    <w:multiLevelType w:val="singleLevel"/>
    <w:tmpl w:val="A7199D97"/>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61E06"/>
    <w:rsid w:val="6DB6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1830"/>
      </w:tabs>
      <w:ind w:left="1830" w:hanging="360"/>
      <w:outlineLvl w:val="0"/>
    </w:pPr>
    <w:rPr>
      <w:rFonts w:ascii="Arial" w:hAnsi="Arial" w:eastAsia="仿宋_GB2312"/>
      <w:sz w:val="28"/>
      <w:lang w:bidi="he-IL"/>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2025-08-04T08:12:00Z</dcterms:created>
  <dc:creator>NTKO</dc:creator>
  <cp:lastModifiedBy>NTKO</cp:lastModifiedBy>
  <dcterms:modified xsi:type="dcterms:W3CDTF">2025-08-04T08:14:33Z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BF64AFB24A0E423986BA98DCA7AEB307_11</vt:lpwstr>
  </property>
  <property fmtid="{D5CDD505-2E9C-101B-9397-08002B2CF9AE}" pid="4" name="KSOTemplateDocerSaveRecord">
    <vt:lpwstr>eyJoZGlkIjoiNDI4YWQ2NzUyODlmMzFlNjA1NWRhZTJhZDkwM2Q1N2EiLCJ1c2VySWQiOiI2MjcyNjkwNzEifQ==</vt:lpwstr>
  </property>
</Properties>
</file>