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BDD61A">
      <w:pPr>
        <w:adjustRightInd w:val="0"/>
        <w:snapToGrid w:val="0"/>
        <w:spacing w:line="600" w:lineRule="exact"/>
        <w:ind w:firstLine="628" w:firstLineChars="200"/>
        <w:rPr>
          <w:rFonts w:hint="eastAsia" w:ascii="仿宋_GB2312" w:hAnsi="仿宋_GB2312" w:cs="仿宋_GB2312"/>
          <w:bCs/>
          <w:szCs w:val="32"/>
        </w:rPr>
      </w:pPr>
      <w:bookmarkStart w:id="0" w:name="_GoBack"/>
      <w:bookmarkEnd w:id="0"/>
    </w:p>
    <w:p w14:paraId="4A97F0B3">
      <w:pPr>
        <w:spacing w:line="500" w:lineRule="exact"/>
        <w:jc w:val="center"/>
        <w:rPr>
          <w:rFonts w:hint="eastAsia" w:ascii="黑体" w:hAnsi="黑体" w:eastAsia="黑体" w:cs="黑体"/>
          <w:bCs/>
          <w:sz w:val="36"/>
          <w:szCs w:val="36"/>
        </w:rPr>
      </w:pPr>
      <w:r>
        <w:rPr>
          <w:rFonts w:hint="eastAsia" w:ascii="黑体" w:hAnsi="黑体" w:eastAsia="黑体" w:cs="黑体"/>
          <w:bCs/>
          <w:sz w:val="36"/>
          <w:szCs w:val="36"/>
        </w:rPr>
        <w:t>枞阳县</w:t>
      </w:r>
      <w:r>
        <w:rPr>
          <w:rFonts w:hint="eastAsia" w:ascii="黑体" w:hAnsi="黑体" w:eastAsia="黑体" w:cs="黑体"/>
          <w:bCs/>
          <w:sz w:val="36"/>
          <w:szCs w:val="36"/>
          <w:lang w:eastAsia="zh-CN"/>
        </w:rPr>
        <w:t>中医院</w:t>
      </w:r>
      <w:r>
        <w:rPr>
          <w:rFonts w:hint="eastAsia" w:ascii="黑体" w:hAnsi="黑体" w:eastAsia="黑体" w:cs="黑体"/>
          <w:bCs/>
          <w:sz w:val="36"/>
          <w:szCs w:val="36"/>
        </w:rPr>
        <w:t>2022年度一般公共预算财政拨款“三公”经费支出决算</w:t>
      </w:r>
    </w:p>
    <w:p w14:paraId="2ED078CE">
      <w:pPr>
        <w:spacing w:line="500" w:lineRule="exact"/>
        <w:jc w:val="center"/>
        <w:rPr>
          <w:rFonts w:hint="eastAsia" w:ascii="楷体_GB2312" w:eastAsia="楷体_GB2312"/>
          <w:szCs w:val="32"/>
        </w:rPr>
      </w:pPr>
      <w:r>
        <w:rPr>
          <w:rFonts w:hint="eastAsia" w:ascii="楷体_GB2312" w:eastAsia="楷体_GB2312"/>
          <w:szCs w:val="32"/>
        </w:rPr>
        <w:t>(参考格式)</w:t>
      </w:r>
    </w:p>
    <w:p w14:paraId="4BAE6A58">
      <w:pPr>
        <w:spacing w:line="500" w:lineRule="exact"/>
        <w:jc w:val="center"/>
        <w:rPr>
          <w:rFonts w:hint="eastAsia" w:ascii="楷体_GB2312" w:eastAsia="楷体_GB2312"/>
          <w:szCs w:val="32"/>
        </w:rPr>
      </w:pPr>
    </w:p>
    <w:p w14:paraId="7BFCD963">
      <w:pPr>
        <w:spacing w:line="500" w:lineRule="exact"/>
        <w:rPr>
          <w:rFonts w:hint="eastAsia" w:ascii="黑体" w:hAnsi="黑体" w:eastAsia="黑体"/>
          <w:szCs w:val="32"/>
        </w:rPr>
      </w:pPr>
      <w:r>
        <w:rPr>
          <w:rFonts w:hint="eastAsia" w:ascii="黑体" w:hAnsi="黑体" w:eastAsia="黑体"/>
          <w:szCs w:val="32"/>
        </w:rPr>
        <w:t xml:space="preserve">    一、2022年度一般公共预算财政拨款“三公”经费支出决算表</w:t>
      </w:r>
    </w:p>
    <w:p w14:paraId="305A552E">
      <w:pPr>
        <w:spacing w:line="500" w:lineRule="exact"/>
        <w:ind w:firstLine="7216" w:firstLineChars="2298"/>
        <w:rPr>
          <w:rFonts w:hint="eastAsia" w:ascii="黑体" w:hAnsi="黑体" w:eastAsia="黑体"/>
          <w:szCs w:val="32"/>
        </w:rPr>
      </w:pPr>
      <w:r>
        <w:rPr>
          <w:rFonts w:hint="eastAsia" w:ascii="仿宋_GB2312" w:hAnsi="仿宋_GB2312" w:cs="仿宋_GB2312"/>
          <w:szCs w:val="32"/>
        </w:rPr>
        <w:t>单位：万元</w:t>
      </w:r>
    </w:p>
    <w:tbl>
      <w:tblPr>
        <w:tblStyle w:val="7"/>
        <w:tblW w:w="0" w:type="auto"/>
        <w:tblInd w:w="0" w:type="dxa"/>
        <w:tblLayout w:type="fixed"/>
        <w:tblCellMar>
          <w:top w:w="0" w:type="dxa"/>
          <w:left w:w="108" w:type="dxa"/>
          <w:bottom w:w="0" w:type="dxa"/>
          <w:right w:w="108" w:type="dxa"/>
        </w:tblCellMar>
      </w:tblPr>
      <w:tblGrid>
        <w:gridCol w:w="4379"/>
        <w:gridCol w:w="2157"/>
        <w:gridCol w:w="2220"/>
      </w:tblGrid>
      <w:tr w14:paraId="410F3CB4">
        <w:tblPrEx>
          <w:tblCellMar>
            <w:top w:w="0" w:type="dxa"/>
            <w:left w:w="108" w:type="dxa"/>
            <w:bottom w:w="0" w:type="dxa"/>
            <w:right w:w="108" w:type="dxa"/>
          </w:tblCellMar>
        </w:tblPrEx>
        <w:trPr>
          <w:trHeight w:val="397" w:hRule="atLeast"/>
        </w:trPr>
        <w:tc>
          <w:tcPr>
            <w:tcW w:w="4379" w:type="dxa"/>
            <w:tcBorders>
              <w:top w:val="single" w:color="auto" w:sz="4" w:space="0"/>
              <w:left w:val="single" w:color="auto" w:sz="4" w:space="0"/>
              <w:bottom w:val="single" w:color="auto" w:sz="4" w:space="0"/>
              <w:right w:val="single" w:color="auto" w:sz="4" w:space="0"/>
            </w:tcBorders>
            <w:noWrap w:val="0"/>
            <w:vAlign w:val="center"/>
          </w:tcPr>
          <w:p w14:paraId="3ECF6B23">
            <w:pPr>
              <w:widowControl/>
              <w:spacing w:line="500" w:lineRule="exact"/>
              <w:jc w:val="center"/>
              <w:rPr>
                <w:rFonts w:ascii="宋体" w:hAnsi="宋体" w:cs="宋体"/>
                <w:b/>
                <w:bCs/>
                <w:kern w:val="0"/>
                <w:szCs w:val="21"/>
              </w:rPr>
            </w:pPr>
            <w:r>
              <w:rPr>
                <w:rFonts w:hint="eastAsia" w:ascii="宋体" w:hAnsi="宋体" w:cs="宋体"/>
                <w:b/>
                <w:bCs/>
                <w:kern w:val="0"/>
                <w:szCs w:val="21"/>
              </w:rPr>
              <w:t>项  目</w:t>
            </w:r>
          </w:p>
        </w:tc>
        <w:tc>
          <w:tcPr>
            <w:tcW w:w="2157" w:type="dxa"/>
            <w:tcBorders>
              <w:top w:val="single" w:color="auto" w:sz="4" w:space="0"/>
              <w:left w:val="nil"/>
              <w:bottom w:val="single" w:color="auto" w:sz="4" w:space="0"/>
              <w:right w:val="single" w:color="auto" w:sz="4" w:space="0"/>
            </w:tcBorders>
            <w:noWrap w:val="0"/>
            <w:vAlign w:val="center"/>
          </w:tcPr>
          <w:p w14:paraId="557FCD7E">
            <w:pPr>
              <w:widowControl/>
              <w:spacing w:line="500" w:lineRule="exact"/>
              <w:jc w:val="center"/>
              <w:rPr>
                <w:rFonts w:ascii="宋体" w:hAnsi="宋体" w:cs="宋体"/>
                <w:b/>
                <w:bCs/>
                <w:kern w:val="0"/>
                <w:szCs w:val="21"/>
              </w:rPr>
            </w:pPr>
            <w:r>
              <w:rPr>
                <w:rFonts w:hint="eastAsia" w:ascii="宋体" w:hAnsi="宋体" w:cs="宋体"/>
                <w:b/>
                <w:bCs/>
                <w:kern w:val="0"/>
                <w:szCs w:val="21"/>
              </w:rPr>
              <w:t>预 算 数</w:t>
            </w:r>
          </w:p>
        </w:tc>
        <w:tc>
          <w:tcPr>
            <w:tcW w:w="2220" w:type="dxa"/>
            <w:tcBorders>
              <w:top w:val="single" w:color="auto" w:sz="4" w:space="0"/>
              <w:left w:val="nil"/>
              <w:bottom w:val="single" w:color="auto" w:sz="4" w:space="0"/>
              <w:right w:val="single" w:color="auto" w:sz="4" w:space="0"/>
            </w:tcBorders>
            <w:noWrap w:val="0"/>
            <w:vAlign w:val="center"/>
          </w:tcPr>
          <w:p w14:paraId="2F4F2FBA">
            <w:pPr>
              <w:widowControl/>
              <w:spacing w:line="500" w:lineRule="exact"/>
              <w:jc w:val="center"/>
              <w:rPr>
                <w:rFonts w:ascii="宋体" w:hAnsi="宋体" w:cs="宋体"/>
                <w:b/>
                <w:bCs/>
                <w:kern w:val="0"/>
                <w:szCs w:val="21"/>
              </w:rPr>
            </w:pPr>
            <w:r>
              <w:rPr>
                <w:rFonts w:hint="eastAsia" w:ascii="宋体" w:hAnsi="宋体" w:cs="宋体"/>
                <w:b/>
                <w:bCs/>
                <w:kern w:val="0"/>
                <w:szCs w:val="21"/>
              </w:rPr>
              <w:t>决 算 数</w:t>
            </w:r>
          </w:p>
        </w:tc>
      </w:tr>
      <w:tr w14:paraId="25528B7E">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3FB0B2E7">
            <w:pPr>
              <w:widowControl/>
              <w:spacing w:line="500" w:lineRule="exact"/>
              <w:jc w:val="center"/>
              <w:rPr>
                <w:rFonts w:ascii="宋体" w:hAnsi="宋体" w:cs="宋体"/>
                <w:b/>
                <w:bCs/>
                <w:kern w:val="0"/>
                <w:szCs w:val="21"/>
              </w:rPr>
            </w:pPr>
            <w:r>
              <w:rPr>
                <w:rFonts w:hint="eastAsia" w:ascii="宋体" w:hAnsi="宋体" w:cs="宋体"/>
                <w:b/>
                <w:bCs/>
                <w:kern w:val="0"/>
                <w:szCs w:val="21"/>
              </w:rPr>
              <w:t>合  计</w:t>
            </w:r>
          </w:p>
        </w:tc>
        <w:tc>
          <w:tcPr>
            <w:tcW w:w="2157" w:type="dxa"/>
            <w:tcBorders>
              <w:top w:val="nil"/>
              <w:left w:val="nil"/>
              <w:bottom w:val="single" w:color="auto" w:sz="4" w:space="0"/>
              <w:right w:val="single" w:color="auto" w:sz="4" w:space="0"/>
            </w:tcBorders>
            <w:noWrap w:val="0"/>
            <w:vAlign w:val="center"/>
          </w:tcPr>
          <w:p w14:paraId="776B940A">
            <w:pPr>
              <w:widowControl/>
              <w:spacing w:line="500" w:lineRule="exact"/>
              <w:jc w:val="center"/>
              <w:rPr>
                <w:rFonts w:ascii="宋体" w:hAnsi="宋体" w:cs="宋体"/>
                <w:b/>
                <w:bCs/>
                <w:kern w:val="0"/>
                <w:szCs w:val="21"/>
              </w:rPr>
            </w:pPr>
            <w:r>
              <w:rPr>
                <w:rFonts w:hint="eastAsia" w:ascii="宋体" w:hAnsi="宋体" w:cs="宋体"/>
                <w:b/>
                <w:bCs/>
                <w:kern w:val="0"/>
                <w:szCs w:val="21"/>
                <w:lang w:val="en-US" w:eastAsia="zh-CN"/>
              </w:rPr>
              <w:t>0</w:t>
            </w:r>
          </w:p>
        </w:tc>
        <w:tc>
          <w:tcPr>
            <w:tcW w:w="2220" w:type="dxa"/>
            <w:tcBorders>
              <w:top w:val="nil"/>
              <w:left w:val="nil"/>
              <w:bottom w:val="single" w:color="auto" w:sz="4" w:space="0"/>
              <w:right w:val="single" w:color="auto" w:sz="4" w:space="0"/>
            </w:tcBorders>
            <w:noWrap w:val="0"/>
            <w:vAlign w:val="center"/>
          </w:tcPr>
          <w:p w14:paraId="06A89DEB">
            <w:pPr>
              <w:widowControl/>
              <w:spacing w:line="500" w:lineRule="exact"/>
              <w:jc w:val="center"/>
              <w:rPr>
                <w:rFonts w:ascii="宋体" w:hAnsi="宋体" w:cs="宋体"/>
                <w:b/>
                <w:bCs/>
                <w:kern w:val="0"/>
                <w:szCs w:val="21"/>
              </w:rPr>
            </w:pPr>
            <w:r>
              <w:rPr>
                <w:rFonts w:hint="eastAsia" w:ascii="宋体" w:hAnsi="宋体" w:cs="宋体"/>
                <w:b/>
                <w:bCs/>
                <w:kern w:val="0"/>
                <w:szCs w:val="21"/>
                <w:lang w:val="en-US" w:eastAsia="zh-CN"/>
              </w:rPr>
              <w:t>0</w:t>
            </w:r>
          </w:p>
        </w:tc>
      </w:tr>
      <w:tr w14:paraId="6F9E8AAA">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27A98ECD">
            <w:pPr>
              <w:widowControl/>
              <w:spacing w:line="500" w:lineRule="exact"/>
              <w:jc w:val="left"/>
              <w:rPr>
                <w:rFonts w:ascii="宋体" w:hAnsi="宋体" w:cs="宋体"/>
                <w:kern w:val="0"/>
                <w:szCs w:val="21"/>
              </w:rPr>
            </w:pPr>
            <w:r>
              <w:rPr>
                <w:rFonts w:hint="eastAsia" w:ascii="宋体" w:hAnsi="宋体" w:cs="宋体"/>
                <w:kern w:val="0"/>
                <w:szCs w:val="21"/>
              </w:rPr>
              <w:t>因公出国（境）费</w:t>
            </w:r>
          </w:p>
        </w:tc>
        <w:tc>
          <w:tcPr>
            <w:tcW w:w="2157" w:type="dxa"/>
            <w:tcBorders>
              <w:top w:val="nil"/>
              <w:left w:val="nil"/>
              <w:bottom w:val="single" w:color="auto" w:sz="4" w:space="0"/>
              <w:right w:val="single" w:color="auto" w:sz="4" w:space="0"/>
            </w:tcBorders>
            <w:noWrap w:val="0"/>
            <w:vAlign w:val="bottom"/>
          </w:tcPr>
          <w:p w14:paraId="5B3819B4">
            <w:pPr>
              <w:widowControl/>
              <w:spacing w:line="500" w:lineRule="exact"/>
              <w:jc w:val="center"/>
              <w:rPr>
                <w:rFonts w:hint="eastAsia" w:ascii="宋体" w:hAnsi="宋体" w:eastAsia="仿宋_GB2312" w:cs="宋体"/>
                <w:kern w:val="0"/>
                <w:szCs w:val="21"/>
                <w:lang w:val="en-US" w:eastAsia="zh-CN"/>
              </w:rPr>
            </w:pPr>
            <w:r>
              <w:rPr>
                <w:rFonts w:hint="eastAsia" w:ascii="宋体" w:hAnsi="宋体" w:cs="宋体"/>
                <w:kern w:val="0"/>
                <w:szCs w:val="21"/>
                <w:lang w:val="en-US" w:eastAsia="zh-CN"/>
              </w:rPr>
              <w:t>0</w:t>
            </w:r>
          </w:p>
        </w:tc>
        <w:tc>
          <w:tcPr>
            <w:tcW w:w="2220" w:type="dxa"/>
            <w:tcBorders>
              <w:top w:val="nil"/>
              <w:left w:val="nil"/>
              <w:bottom w:val="single" w:color="auto" w:sz="4" w:space="0"/>
              <w:right w:val="single" w:color="auto" w:sz="4" w:space="0"/>
            </w:tcBorders>
            <w:noWrap w:val="0"/>
            <w:vAlign w:val="bottom"/>
          </w:tcPr>
          <w:p w14:paraId="645854CD">
            <w:pPr>
              <w:widowControl/>
              <w:spacing w:line="500" w:lineRule="exact"/>
              <w:jc w:val="center"/>
              <w:rPr>
                <w:rFonts w:hint="eastAsia" w:ascii="宋体" w:hAnsi="宋体" w:eastAsia="仿宋_GB2312" w:cs="宋体"/>
                <w:kern w:val="0"/>
                <w:szCs w:val="21"/>
                <w:lang w:val="en-US" w:eastAsia="zh-CN"/>
              </w:rPr>
            </w:pPr>
            <w:r>
              <w:rPr>
                <w:rFonts w:hint="eastAsia" w:ascii="宋体" w:hAnsi="宋体" w:cs="宋体"/>
                <w:kern w:val="0"/>
                <w:szCs w:val="21"/>
                <w:lang w:val="en-US" w:eastAsia="zh-CN"/>
              </w:rPr>
              <w:t>0</w:t>
            </w:r>
          </w:p>
        </w:tc>
      </w:tr>
      <w:tr w14:paraId="4D948C5B">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3287BEAE">
            <w:pPr>
              <w:widowControl/>
              <w:spacing w:line="500" w:lineRule="exact"/>
              <w:jc w:val="left"/>
              <w:rPr>
                <w:rFonts w:ascii="宋体" w:hAnsi="宋体" w:cs="宋体"/>
                <w:kern w:val="0"/>
                <w:szCs w:val="21"/>
              </w:rPr>
            </w:pPr>
            <w:r>
              <w:rPr>
                <w:rFonts w:hint="eastAsia" w:ascii="宋体" w:hAnsi="宋体" w:cs="宋体"/>
                <w:kern w:val="0"/>
                <w:szCs w:val="21"/>
              </w:rPr>
              <w:t>公务接待费</w:t>
            </w:r>
          </w:p>
        </w:tc>
        <w:tc>
          <w:tcPr>
            <w:tcW w:w="2157" w:type="dxa"/>
            <w:tcBorders>
              <w:top w:val="nil"/>
              <w:left w:val="nil"/>
              <w:bottom w:val="single" w:color="auto" w:sz="4" w:space="0"/>
              <w:right w:val="single" w:color="auto" w:sz="4" w:space="0"/>
            </w:tcBorders>
            <w:noWrap w:val="0"/>
            <w:vAlign w:val="bottom"/>
          </w:tcPr>
          <w:p w14:paraId="0517877C">
            <w:pPr>
              <w:widowControl/>
              <w:spacing w:line="500" w:lineRule="exact"/>
              <w:jc w:val="center"/>
              <w:rPr>
                <w:rFonts w:hint="eastAsia" w:ascii="宋体" w:hAnsi="宋体" w:eastAsia="仿宋_GB2312" w:cs="宋体"/>
                <w:kern w:val="0"/>
                <w:szCs w:val="21"/>
                <w:lang w:val="en-US" w:eastAsia="zh-CN"/>
              </w:rPr>
            </w:pPr>
            <w:r>
              <w:rPr>
                <w:rFonts w:hint="eastAsia" w:ascii="宋体" w:hAnsi="宋体" w:cs="宋体"/>
                <w:kern w:val="0"/>
                <w:szCs w:val="21"/>
                <w:lang w:val="en-US" w:eastAsia="zh-CN"/>
              </w:rPr>
              <w:t>0</w:t>
            </w:r>
          </w:p>
        </w:tc>
        <w:tc>
          <w:tcPr>
            <w:tcW w:w="2220" w:type="dxa"/>
            <w:tcBorders>
              <w:top w:val="nil"/>
              <w:left w:val="nil"/>
              <w:bottom w:val="single" w:color="auto" w:sz="4" w:space="0"/>
              <w:right w:val="single" w:color="auto" w:sz="4" w:space="0"/>
            </w:tcBorders>
            <w:noWrap w:val="0"/>
            <w:vAlign w:val="bottom"/>
          </w:tcPr>
          <w:p w14:paraId="0AD93F77">
            <w:pPr>
              <w:widowControl/>
              <w:spacing w:line="500" w:lineRule="exact"/>
              <w:jc w:val="center"/>
              <w:rPr>
                <w:rFonts w:hint="eastAsia" w:ascii="宋体" w:hAnsi="宋体" w:eastAsia="仿宋_GB2312" w:cs="宋体"/>
                <w:kern w:val="0"/>
                <w:szCs w:val="21"/>
                <w:lang w:val="en-US" w:eastAsia="zh-CN"/>
              </w:rPr>
            </w:pPr>
            <w:r>
              <w:rPr>
                <w:rFonts w:hint="eastAsia" w:ascii="宋体" w:hAnsi="宋体" w:cs="宋体"/>
                <w:kern w:val="0"/>
                <w:szCs w:val="21"/>
                <w:lang w:val="en-US" w:eastAsia="zh-CN"/>
              </w:rPr>
              <w:t>0</w:t>
            </w:r>
          </w:p>
        </w:tc>
      </w:tr>
      <w:tr w14:paraId="7E4201CC">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2726DD67">
            <w:pPr>
              <w:widowControl/>
              <w:spacing w:line="500" w:lineRule="exact"/>
              <w:jc w:val="left"/>
              <w:rPr>
                <w:rFonts w:ascii="宋体" w:hAnsi="宋体" w:cs="宋体"/>
                <w:kern w:val="0"/>
                <w:szCs w:val="21"/>
              </w:rPr>
            </w:pPr>
            <w:r>
              <w:rPr>
                <w:rFonts w:hint="eastAsia" w:ascii="宋体" w:hAnsi="宋体" w:cs="宋体"/>
                <w:kern w:val="0"/>
                <w:szCs w:val="21"/>
              </w:rPr>
              <w:t>公务用车购置及运行维护费</w:t>
            </w:r>
          </w:p>
        </w:tc>
        <w:tc>
          <w:tcPr>
            <w:tcW w:w="2157" w:type="dxa"/>
            <w:tcBorders>
              <w:top w:val="nil"/>
              <w:left w:val="nil"/>
              <w:bottom w:val="single" w:color="auto" w:sz="4" w:space="0"/>
              <w:right w:val="single" w:color="auto" w:sz="4" w:space="0"/>
            </w:tcBorders>
            <w:noWrap w:val="0"/>
            <w:vAlign w:val="bottom"/>
          </w:tcPr>
          <w:p w14:paraId="3634ED73">
            <w:pPr>
              <w:widowControl/>
              <w:spacing w:line="500" w:lineRule="exact"/>
              <w:jc w:val="center"/>
              <w:rPr>
                <w:rFonts w:hint="eastAsia" w:ascii="宋体" w:hAnsi="宋体" w:eastAsia="仿宋_GB2312" w:cs="宋体"/>
                <w:kern w:val="0"/>
                <w:szCs w:val="21"/>
                <w:lang w:val="en-US" w:eastAsia="zh-CN"/>
              </w:rPr>
            </w:pPr>
            <w:r>
              <w:rPr>
                <w:rFonts w:hint="eastAsia" w:ascii="宋体" w:hAnsi="宋体" w:cs="宋体"/>
                <w:kern w:val="0"/>
                <w:szCs w:val="21"/>
                <w:lang w:val="en-US" w:eastAsia="zh-CN"/>
              </w:rPr>
              <w:t>0</w:t>
            </w:r>
          </w:p>
        </w:tc>
        <w:tc>
          <w:tcPr>
            <w:tcW w:w="2220" w:type="dxa"/>
            <w:tcBorders>
              <w:top w:val="nil"/>
              <w:left w:val="nil"/>
              <w:bottom w:val="single" w:color="auto" w:sz="4" w:space="0"/>
              <w:right w:val="single" w:color="auto" w:sz="4" w:space="0"/>
            </w:tcBorders>
            <w:noWrap w:val="0"/>
            <w:vAlign w:val="bottom"/>
          </w:tcPr>
          <w:p w14:paraId="5B536B08">
            <w:pPr>
              <w:widowControl/>
              <w:spacing w:line="500" w:lineRule="exact"/>
              <w:jc w:val="center"/>
              <w:rPr>
                <w:rFonts w:hint="eastAsia" w:ascii="宋体" w:hAnsi="宋体" w:eastAsia="仿宋_GB2312" w:cs="宋体"/>
                <w:kern w:val="0"/>
                <w:szCs w:val="21"/>
                <w:lang w:val="en-US" w:eastAsia="zh-CN"/>
              </w:rPr>
            </w:pPr>
            <w:r>
              <w:rPr>
                <w:rFonts w:hint="eastAsia" w:ascii="宋体" w:hAnsi="宋体" w:cs="宋体"/>
                <w:kern w:val="0"/>
                <w:szCs w:val="21"/>
                <w:lang w:val="en-US" w:eastAsia="zh-CN"/>
              </w:rPr>
              <w:t>0</w:t>
            </w:r>
          </w:p>
        </w:tc>
      </w:tr>
      <w:tr w14:paraId="3B18DE05">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6404C7FD">
            <w:pPr>
              <w:widowControl/>
              <w:spacing w:line="500" w:lineRule="exact"/>
              <w:jc w:val="left"/>
              <w:rPr>
                <w:rFonts w:ascii="宋体" w:hAnsi="宋体" w:cs="宋体"/>
                <w:kern w:val="0"/>
                <w:szCs w:val="21"/>
              </w:rPr>
            </w:pPr>
            <w:r>
              <w:rPr>
                <w:rFonts w:hint="eastAsia" w:ascii="宋体" w:hAnsi="宋体" w:cs="宋体"/>
                <w:kern w:val="0"/>
                <w:szCs w:val="21"/>
              </w:rPr>
              <w:t xml:space="preserve">  其中：公务用车购置费</w:t>
            </w:r>
          </w:p>
        </w:tc>
        <w:tc>
          <w:tcPr>
            <w:tcW w:w="2157" w:type="dxa"/>
            <w:tcBorders>
              <w:top w:val="nil"/>
              <w:left w:val="nil"/>
              <w:bottom w:val="single" w:color="auto" w:sz="4" w:space="0"/>
              <w:right w:val="single" w:color="auto" w:sz="4" w:space="0"/>
            </w:tcBorders>
            <w:noWrap w:val="0"/>
            <w:vAlign w:val="bottom"/>
          </w:tcPr>
          <w:p w14:paraId="3D6D2B16">
            <w:pPr>
              <w:widowControl/>
              <w:spacing w:line="500" w:lineRule="exact"/>
              <w:jc w:val="center"/>
              <w:rPr>
                <w:rFonts w:hint="eastAsia" w:ascii="宋体" w:hAnsi="宋体" w:eastAsia="仿宋_GB2312" w:cs="宋体"/>
                <w:kern w:val="0"/>
                <w:szCs w:val="21"/>
                <w:lang w:val="en-US" w:eastAsia="zh-CN"/>
              </w:rPr>
            </w:pPr>
            <w:r>
              <w:rPr>
                <w:rFonts w:hint="eastAsia" w:ascii="宋体" w:hAnsi="宋体" w:cs="宋体"/>
                <w:kern w:val="0"/>
                <w:szCs w:val="21"/>
                <w:lang w:val="en-US" w:eastAsia="zh-CN"/>
              </w:rPr>
              <w:t>0</w:t>
            </w:r>
          </w:p>
        </w:tc>
        <w:tc>
          <w:tcPr>
            <w:tcW w:w="2220" w:type="dxa"/>
            <w:tcBorders>
              <w:top w:val="nil"/>
              <w:left w:val="nil"/>
              <w:bottom w:val="single" w:color="auto" w:sz="4" w:space="0"/>
              <w:right w:val="single" w:color="auto" w:sz="4" w:space="0"/>
            </w:tcBorders>
            <w:noWrap w:val="0"/>
            <w:vAlign w:val="bottom"/>
          </w:tcPr>
          <w:p w14:paraId="0F9E0025">
            <w:pPr>
              <w:widowControl/>
              <w:spacing w:line="500" w:lineRule="exact"/>
              <w:jc w:val="center"/>
              <w:rPr>
                <w:rFonts w:hint="eastAsia" w:ascii="宋体" w:hAnsi="宋体" w:eastAsia="仿宋_GB2312" w:cs="宋体"/>
                <w:kern w:val="0"/>
                <w:szCs w:val="21"/>
                <w:lang w:val="en-US" w:eastAsia="zh-CN"/>
              </w:rPr>
            </w:pPr>
            <w:r>
              <w:rPr>
                <w:rFonts w:hint="eastAsia" w:ascii="宋体" w:hAnsi="宋体" w:cs="宋体"/>
                <w:kern w:val="0"/>
                <w:szCs w:val="21"/>
                <w:lang w:val="en-US" w:eastAsia="zh-CN"/>
              </w:rPr>
              <w:t>0</w:t>
            </w:r>
          </w:p>
        </w:tc>
      </w:tr>
      <w:tr w14:paraId="4BC90DEE">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1650502A">
            <w:pPr>
              <w:widowControl/>
              <w:spacing w:line="500" w:lineRule="exact"/>
              <w:jc w:val="left"/>
              <w:rPr>
                <w:rFonts w:ascii="宋体" w:hAnsi="宋体" w:cs="宋体"/>
                <w:kern w:val="0"/>
                <w:szCs w:val="21"/>
              </w:rPr>
            </w:pPr>
            <w:r>
              <w:rPr>
                <w:rFonts w:hint="eastAsia" w:ascii="宋体" w:hAnsi="宋体" w:cs="宋体"/>
                <w:kern w:val="0"/>
                <w:szCs w:val="21"/>
              </w:rPr>
              <w:t xml:space="preserve">        公务用车运行维护费</w:t>
            </w:r>
          </w:p>
        </w:tc>
        <w:tc>
          <w:tcPr>
            <w:tcW w:w="2157" w:type="dxa"/>
            <w:tcBorders>
              <w:top w:val="nil"/>
              <w:left w:val="nil"/>
              <w:bottom w:val="single" w:color="auto" w:sz="4" w:space="0"/>
              <w:right w:val="single" w:color="auto" w:sz="4" w:space="0"/>
            </w:tcBorders>
            <w:noWrap w:val="0"/>
            <w:vAlign w:val="bottom"/>
          </w:tcPr>
          <w:p w14:paraId="4EC3862F">
            <w:pPr>
              <w:widowControl/>
              <w:spacing w:line="500" w:lineRule="exact"/>
              <w:jc w:val="center"/>
              <w:rPr>
                <w:rFonts w:hint="eastAsia" w:ascii="宋体" w:hAnsi="宋体" w:eastAsia="仿宋_GB2312" w:cs="宋体"/>
                <w:kern w:val="0"/>
                <w:szCs w:val="21"/>
                <w:lang w:val="en-US" w:eastAsia="zh-CN"/>
              </w:rPr>
            </w:pPr>
            <w:r>
              <w:rPr>
                <w:rFonts w:hint="eastAsia" w:ascii="宋体" w:hAnsi="宋体" w:cs="宋体"/>
                <w:kern w:val="0"/>
                <w:szCs w:val="21"/>
                <w:lang w:val="en-US" w:eastAsia="zh-CN"/>
              </w:rPr>
              <w:t>0</w:t>
            </w:r>
          </w:p>
        </w:tc>
        <w:tc>
          <w:tcPr>
            <w:tcW w:w="2220" w:type="dxa"/>
            <w:tcBorders>
              <w:top w:val="nil"/>
              <w:left w:val="nil"/>
              <w:bottom w:val="single" w:color="auto" w:sz="4" w:space="0"/>
              <w:right w:val="single" w:color="auto" w:sz="4" w:space="0"/>
            </w:tcBorders>
            <w:noWrap w:val="0"/>
            <w:vAlign w:val="bottom"/>
          </w:tcPr>
          <w:p w14:paraId="305E2DD5">
            <w:pPr>
              <w:widowControl/>
              <w:spacing w:line="500" w:lineRule="exact"/>
              <w:jc w:val="center"/>
              <w:rPr>
                <w:rFonts w:hint="eastAsia" w:ascii="宋体" w:hAnsi="宋体" w:eastAsia="仿宋_GB2312" w:cs="宋体"/>
                <w:kern w:val="0"/>
                <w:szCs w:val="21"/>
                <w:lang w:val="en-US" w:eastAsia="zh-CN"/>
              </w:rPr>
            </w:pPr>
            <w:r>
              <w:rPr>
                <w:rFonts w:hint="eastAsia" w:ascii="宋体" w:hAnsi="宋体" w:cs="宋体"/>
                <w:kern w:val="0"/>
                <w:szCs w:val="21"/>
                <w:lang w:val="en-US" w:eastAsia="zh-CN"/>
              </w:rPr>
              <w:t>0</w:t>
            </w:r>
          </w:p>
        </w:tc>
      </w:tr>
    </w:tbl>
    <w:p w14:paraId="7D2D141E">
      <w:pPr>
        <w:spacing w:line="360" w:lineRule="exact"/>
        <w:rPr>
          <w:rFonts w:hint="eastAsia" w:ascii="仿宋_GB2312" w:hAnsi="仿宋"/>
          <w:szCs w:val="32"/>
        </w:rPr>
      </w:pPr>
      <w:r>
        <w:rPr>
          <w:rFonts w:hint="eastAsia" w:ascii="仿宋_GB2312" w:hAnsi="仿宋"/>
          <w:sz w:val="21"/>
          <w:szCs w:val="21"/>
        </w:rPr>
        <w:t>注：本表反映单位本年度一般公共预算财政拨款“三公”经费支出预决算情况。其中，预算数为“三公”经费全年预算数，反映按规定程序调整后的预算数;决算数是包括当年一般公共预算财政拨款和以前年度结转资金安排的实际支出。</w:t>
      </w:r>
      <w:r>
        <w:rPr>
          <w:rFonts w:hint="eastAsia" w:ascii="宋体" w:hAnsi="宋体" w:eastAsia="宋体" w:cs="宋体"/>
          <w:kern w:val="0"/>
          <w:sz w:val="20"/>
          <w:lang w:bidi="ar"/>
        </w:rPr>
        <w:t>本套报表金额单位转换成万元时，因四舍五入可能存在尾数误差。</w:t>
      </w:r>
      <w:r>
        <w:rPr>
          <w:rFonts w:hint="eastAsia" w:ascii="仿宋_GB2312" w:hAnsi="仿宋"/>
          <w:sz w:val="21"/>
          <w:szCs w:val="21"/>
        </w:rPr>
        <w:t xml:space="preserve"> </w:t>
      </w:r>
      <w:r>
        <w:rPr>
          <w:rFonts w:hint="eastAsia" w:ascii="仿宋_GB2312" w:hAnsi="仿宋"/>
          <w:szCs w:val="32"/>
        </w:rPr>
        <w:t xml:space="preserve">  </w:t>
      </w:r>
    </w:p>
    <w:p w14:paraId="792D6BB0">
      <w:pPr>
        <w:spacing w:line="360" w:lineRule="exact"/>
        <w:rPr>
          <w:rFonts w:hint="eastAsia" w:ascii="黑体" w:hAnsi="黑体" w:eastAsia="黑体"/>
          <w:szCs w:val="32"/>
        </w:rPr>
      </w:pPr>
      <w:r>
        <w:rPr>
          <w:rFonts w:hint="eastAsia" w:ascii="黑体" w:hAnsi="黑体" w:eastAsia="黑体"/>
          <w:szCs w:val="32"/>
        </w:rPr>
        <w:t xml:space="preserve">                                    </w:t>
      </w:r>
    </w:p>
    <w:p w14:paraId="27621B82">
      <w:pPr>
        <w:spacing w:line="500" w:lineRule="exact"/>
        <w:rPr>
          <w:rFonts w:hint="eastAsia" w:ascii="黑体" w:hAnsi="黑体" w:eastAsia="黑体"/>
          <w:szCs w:val="32"/>
        </w:rPr>
      </w:pPr>
      <w:r>
        <w:rPr>
          <w:rFonts w:ascii="黑体" w:hAnsi="黑体" w:eastAsia="黑体"/>
          <w:szCs w:val="32"/>
        </w:rPr>
        <w:t xml:space="preserve">    </w:t>
      </w:r>
      <w:r>
        <w:rPr>
          <w:rFonts w:hint="eastAsia" w:ascii="黑体" w:hAnsi="黑体" w:eastAsia="黑体"/>
          <w:szCs w:val="32"/>
        </w:rPr>
        <w:t>二</w:t>
      </w:r>
      <w:r>
        <w:rPr>
          <w:rFonts w:ascii="黑体" w:hAnsi="黑体" w:eastAsia="黑体"/>
          <w:szCs w:val="32"/>
        </w:rPr>
        <w:t>、</w:t>
      </w:r>
      <w:r>
        <w:rPr>
          <w:rFonts w:hint="eastAsia" w:ascii="黑体" w:hAnsi="黑体" w:eastAsia="黑体"/>
          <w:szCs w:val="32"/>
        </w:rPr>
        <w:t>2022</w:t>
      </w:r>
      <w:r>
        <w:rPr>
          <w:rFonts w:ascii="黑体" w:hAnsi="黑体" w:eastAsia="黑体"/>
          <w:szCs w:val="32"/>
        </w:rPr>
        <w:t>年</w:t>
      </w:r>
      <w:r>
        <w:rPr>
          <w:rFonts w:hint="eastAsia" w:ascii="黑体" w:hAnsi="黑体" w:eastAsia="黑体"/>
          <w:szCs w:val="32"/>
        </w:rPr>
        <w:t>度一般公共预算财政拨款“三公”经费支出</w:t>
      </w:r>
      <w:r>
        <w:rPr>
          <w:rFonts w:ascii="黑体" w:hAnsi="黑体" w:eastAsia="黑体"/>
          <w:szCs w:val="32"/>
        </w:rPr>
        <w:t>情况说明</w:t>
      </w:r>
    </w:p>
    <w:p w14:paraId="31AD3DC7">
      <w:pPr>
        <w:spacing w:line="500" w:lineRule="exact"/>
        <w:ind w:firstLine="628" w:firstLineChars="200"/>
        <w:rPr>
          <w:rFonts w:hint="eastAsia" w:ascii="仿宋_GB2312" w:hAnsi="仿宋"/>
          <w:b/>
          <w:szCs w:val="32"/>
        </w:rPr>
      </w:pPr>
      <w:r>
        <w:rPr>
          <w:rFonts w:hint="eastAsia" w:ascii="仿宋_GB2312" w:hAnsi="仿宋"/>
          <w:b/>
          <w:szCs w:val="32"/>
        </w:rPr>
        <w:t>（一）一般公共预算财政拨款“三公”经费支出决算总体情况说明。</w:t>
      </w:r>
    </w:p>
    <w:p w14:paraId="6C22B150">
      <w:pPr>
        <w:spacing w:line="500" w:lineRule="exact"/>
        <w:ind w:firstLine="628" w:firstLineChars="200"/>
        <w:rPr>
          <w:rFonts w:hint="eastAsia" w:ascii="仿宋_GB2312" w:hAnsi="仿宋"/>
          <w:szCs w:val="32"/>
        </w:rPr>
      </w:pPr>
      <w:r>
        <w:rPr>
          <w:rFonts w:hint="eastAsia" w:ascii="仿宋_GB2312" w:hAnsi="仿宋"/>
          <w:szCs w:val="32"/>
        </w:rPr>
        <w:t>枞阳县</w:t>
      </w:r>
      <w:r>
        <w:rPr>
          <w:rFonts w:hint="eastAsia" w:ascii="仿宋_GB2312" w:hAnsi="仿宋"/>
          <w:szCs w:val="32"/>
          <w:lang w:eastAsia="zh-CN"/>
        </w:rPr>
        <w:t>中医院</w:t>
      </w:r>
      <w:r>
        <w:rPr>
          <w:rFonts w:hint="eastAsia" w:ascii="仿宋_GB2312" w:hAnsi="仿宋"/>
          <w:szCs w:val="32"/>
        </w:rPr>
        <w:t>2022年度一般公共预算财政拨款“三公”经费支出预算为</w:t>
      </w:r>
      <w:r>
        <w:rPr>
          <w:rFonts w:hint="eastAsia" w:ascii="仿宋_GB2312" w:hAnsi="仿宋"/>
          <w:szCs w:val="32"/>
          <w:lang w:val="en-US" w:eastAsia="zh-CN"/>
        </w:rPr>
        <w:t>0</w:t>
      </w:r>
      <w:r>
        <w:rPr>
          <w:rFonts w:hint="eastAsia" w:ascii="仿宋_GB2312" w:hAnsi="仿宋"/>
          <w:szCs w:val="32"/>
        </w:rPr>
        <w:t>万元，支出决算为</w:t>
      </w:r>
      <w:r>
        <w:rPr>
          <w:rFonts w:hint="eastAsia" w:ascii="仿宋_GB2312" w:hAnsi="仿宋"/>
          <w:szCs w:val="32"/>
          <w:lang w:val="en-US" w:eastAsia="zh-CN"/>
        </w:rPr>
        <w:t>0</w:t>
      </w:r>
      <w:r>
        <w:rPr>
          <w:rFonts w:hint="eastAsia" w:ascii="仿宋_GB2312" w:hAnsi="仿宋"/>
          <w:szCs w:val="32"/>
        </w:rPr>
        <w:t>万元，完成预算的</w:t>
      </w:r>
      <w:r>
        <w:rPr>
          <w:rFonts w:hint="eastAsia" w:ascii="仿宋_GB2312" w:hAnsi="仿宋"/>
          <w:szCs w:val="32"/>
          <w:lang w:val="en-US" w:eastAsia="zh-CN"/>
        </w:rPr>
        <w:t>100</w:t>
      </w:r>
      <w:r>
        <w:rPr>
          <w:rFonts w:hint="eastAsia" w:ascii="仿宋_GB2312" w:hAnsi="仿宋"/>
          <w:szCs w:val="32"/>
        </w:rPr>
        <w:t>%，</w:t>
      </w:r>
      <w:r>
        <w:rPr>
          <w:rFonts w:hint="eastAsia" w:ascii="仿宋_GB2312" w:hAnsi="仿宋"/>
          <w:szCs w:val="32"/>
          <w:lang w:eastAsia="zh-CN"/>
        </w:rPr>
        <w:t>决算数与预算数相同</w:t>
      </w:r>
      <w:r>
        <w:rPr>
          <w:rFonts w:hint="eastAsia" w:ascii="仿宋_GB2312" w:hAnsi="仿宋"/>
          <w:szCs w:val="32"/>
          <w:lang w:val="en-US" w:eastAsia="zh-CN"/>
        </w:rPr>
        <w:t>，较上年减少0万元，下降0%。</w:t>
      </w:r>
      <w:r>
        <w:rPr>
          <w:rFonts w:hint="eastAsia" w:ascii="仿宋_GB2312" w:hAnsi="仿宋"/>
          <w:szCs w:val="32"/>
        </w:rPr>
        <w:t>原因是</w:t>
      </w:r>
      <w:r>
        <w:rPr>
          <w:rFonts w:hint="eastAsia" w:ascii="仿宋_GB2312" w:hAnsi="仿宋"/>
          <w:szCs w:val="32"/>
          <w:lang w:val="en-US" w:eastAsia="zh-CN"/>
        </w:rPr>
        <w:t>2021年度、2022年度</w:t>
      </w:r>
      <w:r>
        <w:rPr>
          <w:rFonts w:hint="eastAsia" w:ascii="仿宋" w:hAnsi="仿宋" w:eastAsia="仿宋" w:cs="仿宋"/>
          <w:i w:val="0"/>
          <w:iCs w:val="0"/>
          <w:caps w:val="0"/>
          <w:color w:val="3D3D3D"/>
          <w:spacing w:val="0"/>
          <w:sz w:val="32"/>
          <w:szCs w:val="32"/>
          <w:shd w:val="clear" w:color="auto" w:fill="FFFFFF"/>
        </w:rPr>
        <w:t>一般公共预算财政拨款</w:t>
      </w:r>
      <w:r>
        <w:rPr>
          <w:rFonts w:hint="eastAsia" w:ascii="仿宋" w:hAnsi="仿宋" w:eastAsia="仿宋" w:cs="仿宋"/>
          <w:i w:val="0"/>
          <w:iCs w:val="0"/>
          <w:caps w:val="0"/>
          <w:color w:val="3D3D3D"/>
          <w:spacing w:val="0"/>
          <w:sz w:val="32"/>
          <w:szCs w:val="32"/>
          <w:shd w:val="clear" w:color="auto" w:fill="FFFFFF"/>
          <w:lang w:eastAsia="zh-CN"/>
        </w:rPr>
        <w:t>均未</w:t>
      </w:r>
      <w:r>
        <w:rPr>
          <w:rFonts w:hint="eastAsia" w:ascii="仿宋" w:hAnsi="仿宋" w:eastAsia="仿宋" w:cs="仿宋"/>
          <w:i w:val="0"/>
          <w:iCs w:val="0"/>
          <w:caps w:val="0"/>
          <w:color w:val="3D3D3D"/>
          <w:spacing w:val="0"/>
          <w:sz w:val="32"/>
          <w:szCs w:val="32"/>
          <w:shd w:val="clear" w:color="auto" w:fill="FFFFFF"/>
        </w:rPr>
        <w:t>安排三公经费支出</w:t>
      </w:r>
      <w:r>
        <w:rPr>
          <w:rFonts w:hint="eastAsia" w:ascii="仿宋_GB2312" w:hAnsi="仿宋"/>
          <w:szCs w:val="32"/>
        </w:rPr>
        <w:t>。</w:t>
      </w:r>
    </w:p>
    <w:p w14:paraId="26E713C1">
      <w:pPr>
        <w:spacing w:line="500" w:lineRule="exact"/>
        <w:ind w:firstLine="628" w:firstLineChars="200"/>
        <w:rPr>
          <w:rFonts w:hint="eastAsia" w:ascii="仿宋_GB2312" w:hAnsi="仿宋"/>
          <w:b/>
          <w:szCs w:val="32"/>
        </w:rPr>
      </w:pPr>
      <w:r>
        <w:rPr>
          <w:rFonts w:hint="eastAsia" w:ascii="仿宋_GB2312" w:hAnsi="仿宋"/>
          <w:b/>
          <w:bCs/>
          <w:szCs w:val="32"/>
        </w:rPr>
        <w:t>（二）</w:t>
      </w:r>
      <w:r>
        <w:rPr>
          <w:rFonts w:hint="eastAsia" w:ascii="仿宋_GB2312" w:hAnsi="仿宋"/>
          <w:b/>
          <w:szCs w:val="32"/>
        </w:rPr>
        <w:t>一般公共预算财政拨款“三公”经费支出决算具体情况说明。</w:t>
      </w:r>
    </w:p>
    <w:p w14:paraId="216456F8">
      <w:pPr>
        <w:spacing w:line="500" w:lineRule="exact"/>
        <w:ind w:firstLine="628" w:firstLineChars="200"/>
        <w:rPr>
          <w:rFonts w:hint="eastAsia" w:ascii="仿宋_GB2312" w:hAnsi="仿宋"/>
          <w:szCs w:val="32"/>
        </w:rPr>
      </w:pPr>
      <w:r>
        <w:rPr>
          <w:rFonts w:hint="eastAsia" w:ascii="仿宋_GB2312" w:hAnsi="仿宋"/>
          <w:szCs w:val="32"/>
        </w:rPr>
        <w:t>枞阳县</w:t>
      </w:r>
      <w:r>
        <w:rPr>
          <w:rFonts w:hint="eastAsia" w:ascii="仿宋_GB2312" w:hAnsi="仿宋"/>
          <w:szCs w:val="32"/>
          <w:lang w:eastAsia="zh-CN"/>
        </w:rPr>
        <w:t>中医院</w:t>
      </w:r>
      <w:r>
        <w:rPr>
          <w:rFonts w:hint="eastAsia" w:ascii="仿宋_GB2312" w:hAnsi="仿宋"/>
          <w:szCs w:val="32"/>
        </w:rPr>
        <w:t>2022年度一般公共预算财政拨款“三公”经费支出决算中，因公出国（境）费支出决算</w:t>
      </w:r>
      <w:r>
        <w:rPr>
          <w:rFonts w:hint="eastAsia" w:ascii="仿宋_GB2312" w:hAnsi="仿宋"/>
          <w:szCs w:val="32"/>
          <w:lang w:val="en-US" w:eastAsia="zh-CN"/>
        </w:rPr>
        <w:t>0</w:t>
      </w:r>
      <w:r>
        <w:rPr>
          <w:rFonts w:hint="eastAsia" w:ascii="仿宋_GB2312" w:hAnsi="仿宋"/>
          <w:szCs w:val="32"/>
        </w:rPr>
        <w:t>万元，占</w:t>
      </w:r>
      <w:r>
        <w:rPr>
          <w:rFonts w:hint="eastAsia" w:ascii="仿宋_GB2312" w:hAnsi="仿宋"/>
          <w:szCs w:val="32"/>
          <w:lang w:val="en-US" w:eastAsia="zh-CN"/>
        </w:rPr>
        <w:t>0</w:t>
      </w:r>
      <w:r>
        <w:rPr>
          <w:rFonts w:hint="eastAsia" w:ascii="仿宋_GB2312" w:hAnsi="仿宋"/>
          <w:szCs w:val="32"/>
        </w:rPr>
        <w:t>%;公务接待费支出决算</w:t>
      </w:r>
      <w:r>
        <w:rPr>
          <w:rFonts w:hint="eastAsia" w:ascii="仿宋_GB2312" w:hAnsi="仿宋"/>
          <w:szCs w:val="32"/>
          <w:lang w:val="en-US" w:eastAsia="zh-CN"/>
        </w:rPr>
        <w:t>0</w:t>
      </w:r>
      <w:r>
        <w:rPr>
          <w:rFonts w:hint="eastAsia" w:ascii="仿宋_GB2312" w:hAnsi="仿宋"/>
          <w:szCs w:val="32"/>
        </w:rPr>
        <w:t>万元，占</w:t>
      </w:r>
      <w:r>
        <w:rPr>
          <w:rFonts w:hint="eastAsia" w:ascii="仿宋_GB2312" w:hAnsi="仿宋"/>
          <w:szCs w:val="32"/>
          <w:lang w:val="en-US" w:eastAsia="zh-CN"/>
        </w:rPr>
        <w:t>0</w:t>
      </w:r>
      <w:r>
        <w:rPr>
          <w:rFonts w:hint="eastAsia" w:ascii="仿宋_GB2312" w:hAnsi="仿宋"/>
          <w:szCs w:val="32"/>
        </w:rPr>
        <w:t>%；公务用车购置及运行维护费支出决算</w:t>
      </w:r>
      <w:r>
        <w:rPr>
          <w:rFonts w:hint="eastAsia" w:ascii="仿宋_GB2312" w:hAnsi="仿宋"/>
          <w:szCs w:val="32"/>
          <w:lang w:val="en-US" w:eastAsia="zh-CN"/>
        </w:rPr>
        <w:t>0</w:t>
      </w:r>
      <w:r>
        <w:rPr>
          <w:rFonts w:hint="eastAsia" w:ascii="仿宋_GB2312" w:hAnsi="仿宋"/>
          <w:szCs w:val="32"/>
        </w:rPr>
        <w:t>万元，占</w:t>
      </w:r>
      <w:r>
        <w:rPr>
          <w:rFonts w:hint="eastAsia" w:ascii="仿宋_GB2312" w:hAnsi="仿宋"/>
          <w:szCs w:val="32"/>
          <w:lang w:val="en-US" w:eastAsia="zh-CN"/>
        </w:rPr>
        <w:t>0</w:t>
      </w:r>
      <w:r>
        <w:rPr>
          <w:rFonts w:hint="eastAsia" w:ascii="仿宋_GB2312" w:hAnsi="仿宋"/>
          <w:szCs w:val="32"/>
        </w:rPr>
        <w:t>%。具体情况如下：</w:t>
      </w:r>
    </w:p>
    <w:p w14:paraId="031EA31E">
      <w:pPr>
        <w:spacing w:line="500" w:lineRule="exact"/>
        <w:ind w:firstLine="628"/>
        <w:rPr>
          <w:rFonts w:hint="eastAsia" w:ascii="仿宋_GB2312" w:hAnsi="仿宋"/>
          <w:szCs w:val="32"/>
        </w:rPr>
      </w:pPr>
      <w:r>
        <w:rPr>
          <w:rFonts w:hint="eastAsia" w:ascii="仿宋_GB2312" w:hAnsi="仿宋"/>
          <w:b/>
          <w:bCs/>
          <w:szCs w:val="32"/>
        </w:rPr>
        <w:t>1.因公出国（境）费</w:t>
      </w:r>
      <w:r>
        <w:rPr>
          <w:rFonts w:hint="eastAsia" w:ascii="仿宋_GB2312" w:hAnsi="仿宋"/>
          <w:szCs w:val="32"/>
        </w:rPr>
        <w:t>预算为</w:t>
      </w:r>
      <w:r>
        <w:rPr>
          <w:rFonts w:hint="eastAsia" w:ascii="仿宋_GB2312" w:hAnsi="仿宋"/>
          <w:szCs w:val="32"/>
          <w:lang w:val="en-US" w:eastAsia="zh-CN"/>
        </w:rPr>
        <w:t>0</w:t>
      </w:r>
      <w:r>
        <w:rPr>
          <w:rFonts w:hint="eastAsia" w:ascii="仿宋_GB2312" w:hAnsi="仿宋"/>
          <w:szCs w:val="32"/>
        </w:rPr>
        <w:t>万元，支出决算为</w:t>
      </w:r>
      <w:r>
        <w:rPr>
          <w:rFonts w:hint="eastAsia" w:ascii="仿宋_GB2312" w:hAnsi="仿宋"/>
          <w:szCs w:val="32"/>
          <w:lang w:val="en-US" w:eastAsia="zh-CN"/>
        </w:rPr>
        <w:t>0</w:t>
      </w:r>
      <w:r>
        <w:rPr>
          <w:rFonts w:hint="eastAsia" w:ascii="仿宋_GB2312" w:hAnsi="仿宋"/>
          <w:szCs w:val="32"/>
        </w:rPr>
        <w:t>万元，完成预算的</w:t>
      </w:r>
      <w:r>
        <w:rPr>
          <w:rFonts w:hint="eastAsia" w:ascii="仿宋_GB2312" w:hAnsi="仿宋"/>
          <w:szCs w:val="32"/>
          <w:lang w:val="en-US" w:eastAsia="zh-CN"/>
        </w:rPr>
        <w:t>100</w:t>
      </w:r>
      <w:r>
        <w:rPr>
          <w:rFonts w:hint="eastAsia" w:ascii="仿宋_GB2312" w:hAnsi="仿宋"/>
          <w:szCs w:val="32"/>
        </w:rPr>
        <w:t>%，</w:t>
      </w:r>
      <w:r>
        <w:rPr>
          <w:rFonts w:hint="eastAsia" w:ascii="仿宋_GB2312" w:hAnsi="仿宋"/>
          <w:szCs w:val="32"/>
          <w:lang w:eastAsia="zh-CN"/>
        </w:rPr>
        <w:t>决算数与预算数相同</w:t>
      </w:r>
      <w:r>
        <w:rPr>
          <w:rFonts w:hint="eastAsia" w:ascii="仿宋_GB2312" w:hAnsi="仿宋"/>
          <w:szCs w:val="32"/>
          <w:lang w:val="en-US" w:eastAsia="zh-CN"/>
        </w:rPr>
        <w:t>，较上年减少0万元，下降0%。</w:t>
      </w:r>
      <w:r>
        <w:rPr>
          <w:rFonts w:hint="eastAsia" w:ascii="仿宋_GB2312" w:hAnsi="仿宋"/>
          <w:szCs w:val="32"/>
        </w:rPr>
        <w:t>原因是</w:t>
      </w:r>
      <w:r>
        <w:rPr>
          <w:rFonts w:hint="eastAsia" w:ascii="仿宋_GB2312" w:hAnsi="仿宋"/>
          <w:szCs w:val="32"/>
          <w:lang w:val="en-US" w:eastAsia="zh-CN"/>
        </w:rPr>
        <w:t>2021年度、2022年度均未安排因公出国（境）费用</w:t>
      </w:r>
      <w:r>
        <w:rPr>
          <w:rFonts w:hint="eastAsia" w:ascii="仿宋_GB2312" w:hAnsi="仿宋"/>
          <w:szCs w:val="32"/>
        </w:rPr>
        <w:t>。</w:t>
      </w:r>
      <w:r>
        <w:rPr>
          <w:rFonts w:hint="eastAsia" w:ascii="仿宋_GB2312" w:hAnsi="仿宋"/>
          <w:szCs w:val="32"/>
          <w:lang w:eastAsia="zh-CN"/>
        </w:rPr>
        <w:t>故</w:t>
      </w:r>
      <w:r>
        <w:rPr>
          <w:rFonts w:hint="eastAsia" w:ascii="仿宋_GB2312" w:hAnsi="仿宋"/>
          <w:szCs w:val="32"/>
        </w:rPr>
        <w:t>2022年枞阳县</w:t>
      </w:r>
      <w:r>
        <w:rPr>
          <w:rFonts w:hint="eastAsia" w:ascii="仿宋_GB2312" w:hAnsi="仿宋"/>
          <w:szCs w:val="32"/>
          <w:lang w:eastAsia="zh-CN"/>
        </w:rPr>
        <w:t>中医院</w:t>
      </w:r>
      <w:r>
        <w:rPr>
          <w:rFonts w:hint="eastAsia" w:ascii="仿宋_GB2312" w:hAnsi="仿宋"/>
          <w:szCs w:val="32"/>
        </w:rPr>
        <w:t>因公出国（境）团组</w:t>
      </w:r>
      <w:r>
        <w:rPr>
          <w:rFonts w:hint="eastAsia" w:ascii="仿宋_GB2312" w:hAnsi="仿宋"/>
          <w:szCs w:val="32"/>
          <w:lang w:val="en-US" w:eastAsia="zh-CN"/>
        </w:rPr>
        <w:t>0</w:t>
      </w:r>
      <w:r>
        <w:rPr>
          <w:rFonts w:hint="eastAsia" w:ascii="仿宋_GB2312" w:hAnsi="仿宋"/>
          <w:szCs w:val="32"/>
        </w:rPr>
        <w:t>次，累计出国（境）</w:t>
      </w:r>
      <w:r>
        <w:rPr>
          <w:rFonts w:hint="eastAsia" w:ascii="仿宋_GB2312" w:hAnsi="仿宋"/>
          <w:szCs w:val="32"/>
          <w:lang w:val="en-US" w:eastAsia="zh-CN"/>
        </w:rPr>
        <w:t>0</w:t>
      </w:r>
      <w:r>
        <w:rPr>
          <w:rFonts w:hint="eastAsia" w:ascii="仿宋_GB2312" w:hAnsi="仿宋"/>
          <w:szCs w:val="32"/>
        </w:rPr>
        <w:t>人次。该项经费根据市外办批准的因公临时出国（境）计划，按照规定标准安排。经费使用严格按照《安徽省省直党政机关因公临时出国经费管理办法》（财行〔2014〕104号）、《安徽省省直党政机关因公短期出国培训费用管理办法》（财行〔2014〕527号）等相关规定执行。</w:t>
      </w:r>
    </w:p>
    <w:p w14:paraId="3B0EB2B1">
      <w:pPr>
        <w:spacing w:line="500" w:lineRule="exact"/>
        <w:ind w:firstLine="628" w:firstLineChars="200"/>
        <w:rPr>
          <w:rFonts w:hint="eastAsia" w:ascii="仿宋_GB2312" w:hAnsi="仿宋"/>
          <w:szCs w:val="32"/>
        </w:rPr>
      </w:pPr>
      <w:r>
        <w:rPr>
          <w:rFonts w:hint="eastAsia" w:ascii="仿宋_GB2312" w:hAnsi="仿宋"/>
          <w:b/>
          <w:bCs/>
          <w:szCs w:val="32"/>
        </w:rPr>
        <w:t>2.公务接待费</w:t>
      </w:r>
      <w:r>
        <w:rPr>
          <w:rFonts w:hint="eastAsia" w:ascii="仿宋_GB2312" w:hAnsi="仿宋"/>
          <w:szCs w:val="32"/>
        </w:rPr>
        <w:t>预算为</w:t>
      </w:r>
      <w:r>
        <w:rPr>
          <w:rFonts w:hint="eastAsia" w:ascii="仿宋_GB2312" w:hAnsi="仿宋"/>
          <w:szCs w:val="32"/>
          <w:lang w:val="en-US" w:eastAsia="zh-CN"/>
        </w:rPr>
        <w:t>0</w:t>
      </w:r>
      <w:r>
        <w:rPr>
          <w:rFonts w:hint="eastAsia" w:ascii="仿宋_GB2312" w:hAnsi="仿宋"/>
          <w:szCs w:val="32"/>
        </w:rPr>
        <w:t>万元，支出决算为</w:t>
      </w:r>
      <w:r>
        <w:rPr>
          <w:rFonts w:hint="eastAsia" w:ascii="仿宋_GB2312" w:hAnsi="仿宋"/>
          <w:szCs w:val="32"/>
          <w:lang w:val="en-US" w:eastAsia="zh-CN"/>
        </w:rPr>
        <w:t>0</w:t>
      </w:r>
      <w:r>
        <w:rPr>
          <w:rFonts w:hint="eastAsia" w:ascii="仿宋_GB2312" w:hAnsi="仿宋"/>
          <w:szCs w:val="32"/>
        </w:rPr>
        <w:t>万元，完成预算的</w:t>
      </w:r>
      <w:r>
        <w:rPr>
          <w:rFonts w:hint="eastAsia" w:ascii="仿宋_GB2312" w:hAnsi="仿宋"/>
          <w:szCs w:val="32"/>
          <w:lang w:val="en-US" w:eastAsia="zh-CN"/>
        </w:rPr>
        <w:t>100</w:t>
      </w:r>
      <w:r>
        <w:rPr>
          <w:rFonts w:hint="eastAsia" w:ascii="仿宋_GB2312" w:hAnsi="仿宋"/>
          <w:szCs w:val="32"/>
        </w:rPr>
        <w:t>%，</w:t>
      </w:r>
      <w:r>
        <w:rPr>
          <w:rFonts w:hint="eastAsia" w:ascii="仿宋_GB2312" w:hAnsi="仿宋"/>
          <w:szCs w:val="32"/>
          <w:lang w:eastAsia="zh-CN"/>
        </w:rPr>
        <w:t>决算数与预算数相同</w:t>
      </w:r>
      <w:r>
        <w:rPr>
          <w:rFonts w:hint="eastAsia" w:ascii="仿宋_GB2312" w:hAnsi="仿宋"/>
          <w:szCs w:val="32"/>
          <w:lang w:val="en-US" w:eastAsia="zh-CN"/>
        </w:rPr>
        <w:t>，较上年减少0万元，下降0%。</w:t>
      </w:r>
      <w:r>
        <w:rPr>
          <w:rFonts w:hint="eastAsia" w:ascii="仿宋_GB2312" w:hAnsi="仿宋"/>
          <w:szCs w:val="32"/>
        </w:rPr>
        <w:t>原因是</w:t>
      </w:r>
      <w:r>
        <w:rPr>
          <w:rFonts w:hint="eastAsia" w:ascii="仿宋_GB2312" w:hAnsi="仿宋"/>
          <w:szCs w:val="32"/>
          <w:lang w:val="en-US" w:eastAsia="zh-CN"/>
        </w:rPr>
        <w:t>2021年度、2022年度均未安排公务接待费</w:t>
      </w:r>
      <w:r>
        <w:rPr>
          <w:rFonts w:hint="eastAsia" w:ascii="仿宋_GB2312" w:hAnsi="仿宋"/>
          <w:szCs w:val="32"/>
        </w:rPr>
        <w:t>。</w:t>
      </w:r>
      <w:r>
        <w:rPr>
          <w:rFonts w:hint="eastAsia" w:ascii="仿宋_GB2312" w:hAnsi="仿宋"/>
          <w:szCs w:val="32"/>
          <w:lang w:eastAsia="zh-CN"/>
        </w:rPr>
        <w:t>故</w:t>
      </w:r>
      <w:r>
        <w:rPr>
          <w:rFonts w:hint="eastAsia" w:ascii="仿宋_GB2312" w:hAnsi="仿宋"/>
          <w:szCs w:val="32"/>
        </w:rPr>
        <w:t>2022年枞阳县</w:t>
      </w:r>
      <w:r>
        <w:rPr>
          <w:rFonts w:hint="eastAsia" w:ascii="仿宋_GB2312" w:hAnsi="仿宋"/>
          <w:szCs w:val="32"/>
          <w:lang w:eastAsia="zh-CN"/>
        </w:rPr>
        <w:t>中医院</w:t>
      </w:r>
      <w:r>
        <w:rPr>
          <w:rFonts w:hint="eastAsia" w:ascii="仿宋_GB2312" w:hAnsi="仿宋"/>
          <w:szCs w:val="32"/>
        </w:rPr>
        <w:t>国内公务接待共</w:t>
      </w:r>
      <w:r>
        <w:rPr>
          <w:rFonts w:hint="eastAsia" w:ascii="仿宋_GB2312" w:hAnsi="仿宋"/>
          <w:szCs w:val="32"/>
          <w:lang w:val="en-US" w:eastAsia="zh-CN"/>
        </w:rPr>
        <w:t>0</w:t>
      </w:r>
      <w:r>
        <w:rPr>
          <w:rFonts w:hint="eastAsia" w:ascii="仿宋_GB2312" w:hAnsi="仿宋"/>
          <w:szCs w:val="32"/>
        </w:rPr>
        <w:t>批次（其中外事接待</w:t>
      </w:r>
      <w:r>
        <w:rPr>
          <w:rFonts w:hint="eastAsia" w:ascii="仿宋_GB2312" w:hAnsi="仿宋"/>
          <w:szCs w:val="32"/>
          <w:lang w:val="en-US" w:eastAsia="zh-CN"/>
        </w:rPr>
        <w:t>0</w:t>
      </w:r>
      <w:r>
        <w:rPr>
          <w:rFonts w:hint="eastAsia" w:ascii="仿宋_GB2312" w:hAnsi="仿宋"/>
          <w:szCs w:val="32"/>
        </w:rPr>
        <w:t>批次），</w:t>
      </w:r>
      <w:r>
        <w:rPr>
          <w:rFonts w:hint="eastAsia" w:ascii="仿宋_GB2312" w:hAnsi="仿宋"/>
          <w:szCs w:val="32"/>
          <w:lang w:val="en-US" w:eastAsia="zh-CN"/>
        </w:rPr>
        <w:t>0</w:t>
      </w:r>
      <w:r>
        <w:rPr>
          <w:rFonts w:hint="eastAsia" w:ascii="仿宋_GB2312" w:hAnsi="仿宋"/>
          <w:szCs w:val="32"/>
        </w:rPr>
        <w:t>人次（其中外事接待</w:t>
      </w:r>
      <w:r>
        <w:rPr>
          <w:rFonts w:hint="eastAsia" w:ascii="仿宋_GB2312" w:hAnsi="仿宋"/>
          <w:szCs w:val="32"/>
          <w:lang w:val="en-US" w:eastAsia="zh-CN"/>
        </w:rPr>
        <w:t>0</w:t>
      </w:r>
      <w:r>
        <w:rPr>
          <w:rFonts w:hint="eastAsia" w:ascii="仿宋_GB2312" w:hAnsi="仿宋"/>
          <w:szCs w:val="32"/>
        </w:rPr>
        <w:t>人次）。经费使用贯彻中央“八项规定”和省、市实</w:t>
      </w:r>
      <w:r>
        <w:rPr>
          <w:rFonts w:hint="eastAsia" w:ascii="仿宋_GB2312" w:hAnsi="宋体" w:cs="宋体"/>
          <w:kern w:val="0"/>
          <w:szCs w:val="32"/>
        </w:rPr>
        <w:t>施细则</w:t>
      </w:r>
      <w:r>
        <w:rPr>
          <w:rFonts w:hint="eastAsia" w:ascii="仿宋_GB2312" w:hAnsi="仿宋"/>
          <w:szCs w:val="32"/>
        </w:rPr>
        <w:t>，严格执行《党政机关厉行节约反对浪费条例》、《铜陵市党政机关国内公务接待费管理办法》、《铜陵市市直机关公务接待费管理暂行办法》（财行〔2015〕248号）、《枞阳县党政机关公务接待管理办法》（办〔2016〕24号）、《枞阳县县直机关公务接待费管理暂行办法》（枞财行〔2016〕624号）等相关规定。</w:t>
      </w:r>
    </w:p>
    <w:p w14:paraId="13E30E60">
      <w:pPr>
        <w:spacing w:line="500" w:lineRule="exact"/>
        <w:ind w:firstLine="628" w:firstLineChars="200"/>
        <w:rPr>
          <w:rFonts w:ascii="仿宋_GB2312" w:hAnsi="方正小标宋简体" w:cs="方正小标宋简体"/>
          <w:bCs/>
          <w:kern w:val="0"/>
          <w:szCs w:val="44"/>
        </w:rPr>
      </w:pPr>
      <w:r>
        <w:rPr>
          <w:rFonts w:hint="eastAsia" w:ascii="仿宋_GB2312" w:hAnsi="仿宋"/>
          <w:b/>
          <w:bCs/>
          <w:szCs w:val="32"/>
        </w:rPr>
        <w:t>3.公务用车购置及运行维护费</w:t>
      </w:r>
      <w:r>
        <w:rPr>
          <w:rFonts w:hint="eastAsia" w:ascii="仿宋_GB2312" w:hAnsi="仿宋"/>
          <w:szCs w:val="32"/>
        </w:rPr>
        <w:t>预算为</w:t>
      </w:r>
      <w:r>
        <w:rPr>
          <w:rFonts w:hint="eastAsia" w:ascii="仿宋_GB2312" w:hAnsi="仿宋"/>
          <w:szCs w:val="32"/>
          <w:lang w:val="en-US" w:eastAsia="zh-CN"/>
        </w:rPr>
        <w:t>0</w:t>
      </w:r>
      <w:r>
        <w:rPr>
          <w:rFonts w:hint="eastAsia" w:ascii="仿宋_GB2312" w:hAnsi="仿宋"/>
          <w:szCs w:val="32"/>
        </w:rPr>
        <w:t>万元，支出决算为</w:t>
      </w:r>
      <w:r>
        <w:rPr>
          <w:rFonts w:hint="eastAsia" w:ascii="仿宋_GB2312" w:hAnsi="仿宋"/>
          <w:szCs w:val="32"/>
          <w:lang w:val="en-US" w:eastAsia="zh-CN"/>
        </w:rPr>
        <w:t>0</w:t>
      </w:r>
      <w:r>
        <w:rPr>
          <w:rFonts w:hint="eastAsia" w:ascii="仿宋_GB2312" w:hAnsi="仿宋"/>
          <w:szCs w:val="32"/>
        </w:rPr>
        <w:t>万元，完成预算的</w:t>
      </w:r>
      <w:r>
        <w:rPr>
          <w:rFonts w:hint="eastAsia" w:ascii="仿宋_GB2312" w:hAnsi="仿宋"/>
          <w:szCs w:val="32"/>
          <w:lang w:val="en-US" w:eastAsia="zh-CN"/>
        </w:rPr>
        <w:t>100</w:t>
      </w:r>
      <w:r>
        <w:rPr>
          <w:rFonts w:hint="eastAsia" w:ascii="仿宋_GB2312" w:hAnsi="仿宋"/>
          <w:szCs w:val="32"/>
        </w:rPr>
        <w:t>%，</w:t>
      </w:r>
      <w:r>
        <w:rPr>
          <w:rFonts w:hint="eastAsia" w:ascii="仿宋_GB2312" w:hAnsi="仿宋"/>
          <w:szCs w:val="32"/>
          <w:lang w:eastAsia="zh-CN"/>
        </w:rPr>
        <w:t>决算数与预算数相同</w:t>
      </w:r>
      <w:r>
        <w:rPr>
          <w:rFonts w:hint="eastAsia" w:ascii="仿宋_GB2312" w:hAnsi="仿宋"/>
          <w:szCs w:val="32"/>
          <w:lang w:val="en-US" w:eastAsia="zh-CN"/>
        </w:rPr>
        <w:t>，较上年减少0万元，下降0%。</w:t>
      </w:r>
      <w:r>
        <w:rPr>
          <w:rFonts w:hint="eastAsia" w:ascii="仿宋_GB2312" w:hAnsi="仿宋"/>
          <w:szCs w:val="32"/>
        </w:rPr>
        <w:t>原因是</w:t>
      </w:r>
      <w:r>
        <w:rPr>
          <w:rFonts w:hint="eastAsia" w:ascii="仿宋_GB2312" w:hAnsi="仿宋"/>
          <w:szCs w:val="32"/>
          <w:lang w:val="en-US" w:eastAsia="zh-CN"/>
        </w:rPr>
        <w:t>2021年度、2022年度均未安排公务用车购置及运行维护费</w:t>
      </w:r>
      <w:r>
        <w:rPr>
          <w:rFonts w:hint="eastAsia" w:ascii="仿宋_GB2312" w:hAnsi="仿宋"/>
          <w:szCs w:val="32"/>
        </w:rPr>
        <w:t>。</w:t>
      </w:r>
      <w:r>
        <w:rPr>
          <w:rFonts w:hint="eastAsia" w:ascii="仿宋_GB2312" w:hAnsi="仿宋"/>
          <w:color w:val="000000"/>
          <w:szCs w:val="32"/>
        </w:rPr>
        <w:t>截至2022年12月31日，枞阳县</w:t>
      </w:r>
      <w:r>
        <w:rPr>
          <w:rFonts w:hint="eastAsia" w:ascii="仿宋_GB2312" w:hAnsi="仿宋"/>
          <w:color w:val="000000"/>
          <w:szCs w:val="32"/>
          <w:lang w:eastAsia="zh-CN"/>
        </w:rPr>
        <w:t>中医院</w:t>
      </w:r>
      <w:r>
        <w:rPr>
          <w:rFonts w:hint="eastAsia" w:ascii="仿宋_GB2312" w:hAnsi="仿宋"/>
          <w:color w:val="000000"/>
          <w:szCs w:val="32"/>
        </w:rPr>
        <w:t>开支财政拨款的公务用车保有量为</w:t>
      </w:r>
      <w:r>
        <w:rPr>
          <w:rFonts w:hint="eastAsia" w:ascii="仿宋_GB2312" w:hAnsi="仿宋"/>
          <w:color w:val="000000"/>
          <w:szCs w:val="32"/>
          <w:lang w:val="en-US" w:eastAsia="zh-CN"/>
        </w:rPr>
        <w:t>0</w:t>
      </w:r>
      <w:r>
        <w:rPr>
          <w:rFonts w:hint="eastAsia" w:ascii="仿宋_GB2312" w:hAnsi="仿宋"/>
          <w:color w:val="000000"/>
          <w:szCs w:val="32"/>
        </w:rPr>
        <w:t>辆。</w:t>
      </w:r>
    </w:p>
    <w:sectPr>
      <w:footerReference r:id="rId3" w:type="default"/>
      <w:footerReference r:id="rId4" w:type="even"/>
      <w:pgSz w:w="11906" w:h="16838"/>
      <w:pgMar w:top="2098" w:right="1474" w:bottom="1984" w:left="1588" w:header="0" w:footer="1134" w:gutter="0"/>
      <w:pgNumType w:fmt="numberInDash" w:start="1"/>
      <w:cols w:space="720" w:num="1"/>
      <w:docGrid w:type="linesAndChars" w:linePitch="569" w:charSpace="-12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32497">
    <w:pPr>
      <w:pStyle w:val="4"/>
      <w:rPr>
        <w:rFonts w:hint="eastAsia" w:ascii="仿宋_GB2312"/>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E72224D">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9umys5gEA&#10;AMgDAAAOAAAAAAAAAAEAIAAAACIBAABkcnMvZTJvRG9jLnhtbFBLBQYAAAAABgAGAFkBAAB6BQAA&#10;AAA=&#10;">
              <v:fill on="f" focussize="0,0"/>
              <v:stroke on="f" weight="1.25pt"/>
              <v:imagedata o:title=""/>
              <o:lock v:ext="edit" aspectratio="f"/>
              <v:textbox inset="0mm,0mm,0mm,0mm" style="mso-fit-shape-to-text:t;">
                <w:txbxContent>
                  <w:p w14:paraId="4E72224D">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32B07">
    <w:pPr>
      <w:pStyle w:val="4"/>
      <w:framePr w:wrap="around" w:vAnchor="text" w:hAnchor="margin" w:xAlign="right" w:y="1"/>
      <w:rPr>
        <w:rStyle w:val="9"/>
      </w:rPr>
    </w:pPr>
    <w:r>
      <w:fldChar w:fldCharType="begin"/>
    </w:r>
    <w:r>
      <w:rPr>
        <w:rStyle w:val="9"/>
      </w:rPr>
      <w:instrText xml:space="preserve">PAGE  </w:instrText>
    </w:r>
    <w:r>
      <w:fldChar w:fldCharType="separate"/>
    </w:r>
    <w:r>
      <w:rPr>
        <w:rStyle w:val="9"/>
      </w:rPr>
      <w:t>57</w:t>
    </w:r>
    <w:r>
      <w:fldChar w:fldCharType="end"/>
    </w:r>
  </w:p>
  <w:p w14:paraId="7D0E3658">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313"/>
  <w:drawingGridVerticalSpacing w:val="569"/>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jZGRjOWQ2N2IzMjRlNWZkYzBjYWJiZjM5OGQzZTUifQ=="/>
    <w:docVar w:name="KSO_WPS_MARK_KEY" w:val="7fda665c-9755-4ad6-a78f-636745ab131f"/>
  </w:docVars>
  <w:rsids>
    <w:rsidRoot w:val="00172A27"/>
    <w:rsid w:val="00045049"/>
    <w:rsid w:val="00223B77"/>
    <w:rsid w:val="002A7EBB"/>
    <w:rsid w:val="003C3D7F"/>
    <w:rsid w:val="00DE627A"/>
    <w:rsid w:val="00EC522C"/>
    <w:rsid w:val="00EE20C1"/>
    <w:rsid w:val="03826887"/>
    <w:rsid w:val="03C60503"/>
    <w:rsid w:val="04DB2AC4"/>
    <w:rsid w:val="0CE90CB5"/>
    <w:rsid w:val="13DA69DA"/>
    <w:rsid w:val="141A377E"/>
    <w:rsid w:val="16B97B16"/>
    <w:rsid w:val="1AF20F76"/>
    <w:rsid w:val="1EA212A1"/>
    <w:rsid w:val="1FBB2376"/>
    <w:rsid w:val="2123408C"/>
    <w:rsid w:val="21F34C4F"/>
    <w:rsid w:val="279B1B0E"/>
    <w:rsid w:val="2C1B57AC"/>
    <w:rsid w:val="2CCB459B"/>
    <w:rsid w:val="30A20B8E"/>
    <w:rsid w:val="35AA6910"/>
    <w:rsid w:val="388D19F8"/>
    <w:rsid w:val="3BB5440F"/>
    <w:rsid w:val="40270B39"/>
    <w:rsid w:val="452F4035"/>
    <w:rsid w:val="469A3487"/>
    <w:rsid w:val="49583186"/>
    <w:rsid w:val="4B3B757A"/>
    <w:rsid w:val="4DAD1CF2"/>
    <w:rsid w:val="4DFC2C44"/>
    <w:rsid w:val="4F717EA3"/>
    <w:rsid w:val="51821317"/>
    <w:rsid w:val="58F93066"/>
    <w:rsid w:val="6AEC2E73"/>
    <w:rsid w:val="6B6C1019"/>
    <w:rsid w:val="6E514E5A"/>
    <w:rsid w:val="6E7A7577"/>
    <w:rsid w:val="6F712800"/>
    <w:rsid w:val="747D1853"/>
    <w:rsid w:val="77A83366"/>
    <w:rsid w:val="7CD4706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2"/>
      <w:lang w:val="en-US" w:eastAsia="zh-CN" w:bidi="ar-SA"/>
    </w:rPr>
  </w:style>
  <w:style w:type="character" w:default="1" w:styleId="8">
    <w:name w:val="Default Paragraph Font"/>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styleId="2">
    <w:name w:val="Body Text"/>
    <w:basedOn w:val="1"/>
    <w:uiPriority w:val="0"/>
    <w:pPr>
      <w:jc w:val="center"/>
    </w:pPr>
    <w:rPr>
      <w:rFonts w:eastAsia="黑体"/>
      <w:sz w:val="36"/>
    </w:rPr>
  </w:style>
  <w:style w:type="paragraph" w:styleId="3">
    <w:name w:val="Balloon Text"/>
    <w:basedOn w:val="1"/>
    <w:uiPriority w:val="0"/>
    <w:rPr>
      <w:sz w:val="18"/>
      <w:szCs w:val="18"/>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bottom w:val="single" w:color="auto" w:sz="6" w:space="1"/>
      </w:pBdr>
      <w:tabs>
        <w:tab w:val="center" w:pos="4153"/>
        <w:tab w:val="right" w:pos="8306"/>
      </w:tabs>
      <w:snapToGrid w:val="0"/>
      <w:jc w:val="center"/>
    </w:pPr>
    <w:rPr>
      <w:sz w:val="18"/>
    </w:rPr>
  </w:style>
  <w:style w:type="paragraph" w:styleId="6">
    <w:name w:val="Normal (Web)"/>
    <w:basedOn w:val="1"/>
    <w:uiPriority w:val="0"/>
    <w:pPr>
      <w:widowControl/>
      <w:spacing w:before="100" w:beforeLines="0" w:beforeAutospacing="1" w:after="100" w:afterLines="0" w:afterAutospacing="1"/>
      <w:jc w:val="left"/>
    </w:pPr>
    <w:rPr>
      <w:rFonts w:ascii="宋体" w:hAnsi="宋体" w:eastAsia="宋体" w:cs="宋体"/>
      <w:kern w:val="0"/>
      <w:sz w:val="24"/>
      <w:szCs w:val="24"/>
    </w:rPr>
  </w:style>
  <w:style w:type="character" w:styleId="9">
    <w:name w:val="page number"/>
    <w:uiPriority w:val="0"/>
  </w:style>
  <w:style w:type="character" w:customStyle="1" w:styleId="10">
    <w:name w:val="font61"/>
    <w:uiPriority w:val="0"/>
    <w:rPr>
      <w:rFonts w:hint="eastAsia" w:ascii="宋体" w:hAnsi="宋体" w:eastAsia="宋体" w:cs="宋体"/>
      <w:color w:val="000000"/>
      <w:sz w:val="22"/>
      <w:szCs w:val="22"/>
      <w:u w:val="none"/>
    </w:rPr>
  </w:style>
  <w:style w:type="paragraph" w:customStyle="1" w:styleId="11">
    <w:name w:val="正文（无条数）"/>
    <w:basedOn w:val="1"/>
    <w:uiPriority w:val="0"/>
    <w:pPr>
      <w:adjustRightInd w:val="0"/>
      <w:snapToGrid w:val="0"/>
      <w:spacing w:line="360" w:lineRule="auto"/>
      <w:ind w:firstLine="200" w:firstLineChars="200"/>
    </w:pPr>
    <w:rPr>
      <w:rFonts w:ascii="仿宋_GB2312" w:eastAsia="仿宋_GB2312"/>
      <w:color w:val="000000"/>
      <w:sz w:val="32"/>
      <w:szCs w:val="32"/>
    </w:rPr>
  </w:style>
  <w:style w:type="character" w:customStyle="1" w:styleId="12">
    <w:name w:val="font11"/>
    <w:basedOn w:val="8"/>
    <w:uiPriority w:val="0"/>
    <w:rPr>
      <w:rFonts w:hint="eastAsia" w:ascii="宋体" w:hAnsi="宋体" w:eastAsia="宋体" w:cs="宋体"/>
      <w:b/>
      <w:bCs/>
      <w:color w:val="000000"/>
      <w:sz w:val="32"/>
      <w:szCs w:val="32"/>
      <w:u w:val="none"/>
    </w:rPr>
  </w:style>
  <w:style w:type="character" w:customStyle="1" w:styleId="13">
    <w:name w:val="font51"/>
    <w:basedOn w:val="8"/>
    <w:uiPriority w:val="0"/>
    <w:rPr>
      <w:rFonts w:hint="eastAsia" w:ascii="宋体" w:hAnsi="宋体" w:eastAsia="宋体" w:cs="宋体"/>
      <w:color w:val="000000"/>
      <w:sz w:val="32"/>
      <w:szCs w:val="32"/>
      <w:u w:val="none"/>
    </w:rPr>
  </w:style>
  <w:style w:type="character" w:customStyle="1" w:styleId="14">
    <w:name w:val="font31"/>
    <w:basedOn w:val="8"/>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1172</Words>
  <Characters>1269</Characters>
  <Lines>86</Lines>
  <Paragraphs>24</Paragraphs>
  <TotalTime>4</TotalTime>
  <ScaleCrop>false</ScaleCrop>
  <LinksUpToDate>false</LinksUpToDate>
  <CharactersWithSpaces>1334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2020-07-24T09:15:00Z</dcterms:created>
  <dc:creator>杨丽</dc:creator>
  <cp:lastModifiedBy>Administrator</cp:lastModifiedBy>
  <cp:lastPrinted>2023-09-14T03:22:00Z</cp:lastPrinted>
  <dcterms:modified xsi:type="dcterms:W3CDTF">2024-07-23T01:37:05Z</dcterms:modified>
  <dc:title>财〔2002〕号</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2768469936434E459146FE96F5FE0240_13</vt:lpwstr>
  </property>
</Properties>
</file>